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 - 2021问题案例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断路器内部机械部件老化或制造缺陷；2. 长期运行导致的应力疲劳；3. 操作不当或维护不足；4. 环境因素（如温度、湿度）对设备性能的影响；5. 电气负荷过大导致的过热现象。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建议进行以下处理：1. 对所有同型号断路器进行全面检查，评估其健康状况；2. 更换已损坏的断路器，并确保新设备的质量和安装正确；3. 加强日常巡检和定期维护，及时发现并处理潜在问题；4. 分析故障原因，采取针对性措施避免类似问题再次发生；5. 对相关人员进行培训，提高操作和维护水平。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