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断路器内部机械部件老化或制造缺陷；2) 长期运行导致的应力疲劳；3) 操作不当或维护不足；4) 环境因素如温度、湿度等对设备性能的影响。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建议进行以下处理：1) 对所有同型号断路器进行全面检查，评估其机械部件状态；2) 加强日常巡检和定期维护，及时发现并处理潜在问题；3) 分析故障数据，优化操作流程和维护策略；4) 如有必要，更换存在隐患的断路器部件或整机。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