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断路器内部机械部件老化或制造缺陷，导致不锈钢拉杆断裂；2) 长期运行中的振动和应力集中，加速了金属疲劳；3) 操作不当或维护不足，未能及时发现并处理潜在隐患；4) 环境因素如温度、湿度等对设备性能的影响。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建议进行以下处理：1) 对所有同型号断路器进行全面检查，评估其机械部件的健康状况；2) 加强日常巡检和定期维护，及时发现并处理潜在问题；3) 优化操作流程，避免不当操作对设备造成损害；4) 根据检查结果，必要时更换存在隐患的部件或整机。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