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输电杆塔全过程技术监督精益化管理实施细则.xls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2.1000kV线路项目及周期：根据实际情况选点测量，每1年对铁塔倾斜、挠度进行检测、每3-5年对铁塔结构、铁件锈蚀情况进行检查。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xx乌杨输电导线选型按照126兆伏安的输送容量进行选型，其输送容量未按照乌杨变远景规模3×50兆伏安的变压器容量进行计算和校核。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可能导致该问题的原因包括：1. 设计阶段对变电站远景规模考虑不足；2. 输电导线选型时信息沟通不畅，导致数据使用错误；3. 设计审核环节疏忽，未发现容量匹配问题。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建议重新评估输电导线的输送容量，确保其与乌杨变电站远景规模的变压器容量相匹配。同时，加强设计阶段的信息沟通和审核力度，避免类似问题再次发生。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