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导、地线全过程技术监督精益化管理实施细则.xls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2.非重冰及大跨越区新建紧凑型线路应采用多分裂导线，500kV紧凑型线路不宜小于6分裂；330kV紧凑型线路不宜小于4分裂；220kV紧凑型线路不宜小于4分裂。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xx乌杨输电导线选型按照126兆伏安的输送容量进行选型，其输送容量未按照乌杨变远景规模3×50兆伏安的变压器容量进行计算和校核。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设计阶段对远景规模考虑不周全；2. 选型过程中信息沟通不畅；3. 对未来负荷增长预测不足；4. 设计标准和规范执行不到位。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建议重新评估并校核输电导线的选型，确保其符合乌杨变电站远景规模的变压器容量要求。加强设计阶段的信息沟通和负荷预测，严格执行相关设计标准和规范。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