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规划可研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 - 规划可研阶段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1.1.1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应根据接线、运行方式、设计规划容量及系统远景发展规划等计算短路电流，确定安装地点最大运行方式下变压器出口短路电流，对短路电流问题突出的电网，应对本工程投产前后系统的短路电流水平进行分析，以分析方案的合理性，并校核已有电气设备的适应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xx乌杨输电导线选型按照126兆伏安的输送容量进行选型，其输送容量未按照乌杨变远景规模3×50兆伏安的变压器容量进行计算和校核。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可能导致该问题的原因包括：1. 设计阶段对远景规模考虑不周全；2. 选型过程中缺乏对变压器容量的充分校核；3. 规划与实际需求存在偏差。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建议重新评估乌杨变电站的远景规模，确保输电导线选型符合实际需求。进行详细的容量计算和校核，必要时调整导线型号。加强设计阶段的审核和监督，避免类似问题再次发生。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