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自动化（变电站）全过程技术监督精益化管理实施细则.xls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1.220kV及以下变电站，通信电源与站内直流电源整合；2.330kV及以上变电站根据规模及设备布置，通信电源可整合于站内直流电源，也可单独配置；3.具有中继功能的变电站，通信电源独立配置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xx乌杨输电导线选型按照126兆伏安的输送容量进行选型，其输送容量未按照乌杨变远景规模3×50兆伏安的变压器容量进行计算和校核。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在规划阶段对变电站远景规模考虑不周全；2. 输电导线选型时未充分考虑未来负荷增长的需求；3. 设计人员对相关标准和规范理解不够深入，导致选型不合理。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建议重新评估乌杨变电站的远景规模，根据实际需求校核输电导线的输送容量，必要时调整导线选型。同时，加强设计人员的专业培训，确保选型符合相关标准和规范。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