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规划可研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断路器全过程技术监督精益化管理实施细则.xls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6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6.新投运的220kV及以上开关的压力闭锁继电器应双重化配置，防止第一组操作电源失去时，第二套保护和操作箱或智能终端无法跳闸出口。对已投运单套压力闭锁继电器的开关，宜结合设备运行评估情况，逐步列入技术改造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2021年4月8日、2021年7月21日，330kV天水变电站在线路保护动作、运行转热备用过程中先后发生1115天二线断路器C相、1121天秦I线开关A相未动作故障，后对相关断路器进行更换并进行解体检查，发现断路器动弧触头不锈钢拉杆断裂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可能导致该问题的潜在原因包括：1. 断路器机械部件老化或制造缺陷，导致不锈钢拉杆断裂；2. 操作过程中存在过大的机械应力，超出设备承受范围；3. 维护不当，未能及时发现并处理潜在的机械损伤；4. 环境因素（如温度、湿度）对设备材料性能的影响。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建议进行以下处理：1. 对所有同型号断路器进行全面检查，特别是动弧触头和不锈钢拉杆部分；2. 加强日常维护和定期检修，及时更换老化或有损伤的部件；3. 分析故障原因，采取针对性措施避免类似问题再次发生；4. 提高操作规范性，减少机械应力对设备的影响。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