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全站外绝缘全过程技术监督精益化管理实施细则.xls - 工程设计阶段</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1-2.《电力系统污区分级与外绝缘选择标准 第2部分 直流系统》（Q/GDW 1152.2-2014 ）6.1当绝缘子串表面灰密为等值盐密的6倍及以下时，±400kV～±800kV直流场支柱绝缘子/空心绝缘子（大小伞结构）爬电比距选择：（1）表中数据为复合绝缘所需统一爬电比距，括号内为瓷绝缘所需统一爬电比距。（2）直流场支柱绝缘子/不同直径空心绝缘子伞形为大小伞结构。（3）表中数据以人工污秽试验结果为基础，比较现有工程使用数据，加以调整后得到。（4）表中值以灰密为等值盐密的6倍计算。（5）直流等值盐密大于0.35mg/cm2时，应根据现场实际污秽条件重新计算所需爬电比距；A级区直流等值盐密小于等于0.03mg/cm2时，应根据现场实际污秽条件重新计算所需爬电比距。（6）如应用在户内，配置应满足50%操作冲击耐受电压。6.4当配置不满足污区要求时，可使用RTV涂料，提高输变电设备的防污闪性能；对于新建工程的户外变电设备，当制造商难以提供更大爬距的绝缘子时，可以采用复合支柱和复合空心绝缘子，也可将未满足污区爬距要求的绝缘子涂覆RTV。中重污区的外绝缘配置宜采用硅橡胶类防污闪产品。3.《国家电网有限公司关于印发十八项电网重大反事故措施（修订版）的通知》（国家电网设备〔2018〕979号）7.1.6安装在非密封户内的设备外绝缘设计应考虑户内场湿度和实际污秽度，与户外设备外绝缘的污秽等级差异不宜大于一级。</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该项目位于d级污秽区域，然而设计说明书中的外绝缘设计标准仅符合c级污秽区域的要求。尽管实际的外绝缘设计已经按照d级污秽区域的标准进行配置，但这种设计与文件描述之间的不一致可能引发一系列潜在问题。具体表现为：外绝缘子、套管等部件在高污秽环境下的电气性能和机械强度是否满足长期稳定运行的需求，以及这种设计差异对整体电力系统的安全性和可靠性的影响。</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导致该问题的潜在原因包括：1) 设计阶段对污秽等级评估有误，初始设计按较低等级（c级）进行；2) 在后续设计审查或调整过程中，虽然提升了实际设计标准至d级，但未同步更新设计说明书；3) 沟通协调不足，导致设计部门与现场实施部门信息不对称；4) 质量控制环节疏漏，未能发现并纠正设计文件与实际配置的差异。</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组织设计、施工及运维等相关方进行专项会议，核实并确认外绝缘设计的实际标准与现场需求的一致性。同时，修订设计说明书，确保其准确反映实际设计情况。加强设计变更管理流程，确保所有变更均有据可查且及时传达至各相关部门。定期开展设计文件与现场实施情况的比对检查，预防类似问题的发生。</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