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电能质量全过程技术监督精益化管理实施细则.xls - 规划可研阶段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2.《电能质量评估技术导则》（Q/GDW10651-2015）6.2.3根据评估对象对评估值影响程度的大小，按三级评估方法对其进行预测评估。5.1.3评估对象负荷或系统运行方式发生重大变化时应重新进行电能质量评估。附录E 电能质量预测评估报告主要内容及要求。《电气化铁路牵引站接入电网导则》（Q/GDW 11623-2017）9.1.2 电能质量预测评估按照Q/GDW 651规定的三级评估原则，考虑牵引负荷的特殊性，直接采用第二级和第三级评估。</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330千伏兰彭一线001#塔的B、C相接地引下线连板检查中发现，该连板并非采用标准的整块薄钢板制作，而是由两块钢板通过焊接方式连接而成。这种非标准的制作方式不符合电力设备的质量要求和相关行业标准，可能对设备的安全运行和长期稳定性造成潜在影响。</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可能导致该问题的潜在原因包括：1) 设备制造阶段的质量控制不严格，未按照设计图纸和标准进行生产；2) 材料采购阶段选用的钢板规格不符合要求，导致需要通过焊接来达到尺寸需求；3) 安装阶段对设备部件的检查不到位，未能及时发现并纠正非标准制作的问题。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330千伏兰彭一线001#塔B、C相接地引下线连板进行更换，选用符合标准的整块薄钢板制作的连板。同时，加强设备制造和安装阶段的质量监督，确保所有部件均符合设计要求和行业标准。此外，对同批次或同类型的其他设备进行排查，防止类似问题的普遍存在。</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