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电能质量全过程技术监督精益化管理实施细则.xls - 规划可研阶段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2.《电能质量评估技术导则》（Q/GDW10651-2015）6.2.3根据评估对象对评估值影响程度的大小，按三级评估方法对其进行预测评估。5.1.3评估对象负荷或系统运行方式发生重大变化时应重新进行电能质量评估。附录E 电能质量预测评估报告主要内容及要求。《电气化铁路牵引站接入电网导则》（Q/GDW 11623-2017）9.1.2 电能质量预测评估按照Q/GDW 651规定的三级评估原则，考虑牵引负荷的特殊性，直接采用第二级和第三级评估。</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330千伏兰彭一线001#塔的B、C相接地引下线连板检查中发现，该连板并非采用标准要求的整块薄钢板制作，而是由两块钢板通过焊接方式连接而成。这种非标准的制作方式不符合电力设备的质量规范要求，可能对设备的安全运行和维护造成潜在影响。</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可能导致该问题的潜在原因包括：1) 设备制造阶段的质量控制不严格，未按照标准要求使用整块薄钢板；2) 设备采购阶段对材料规格的审核不够细致，导致不合格材料被使用；3) 设备安装阶段对部件的检查不到位，未能及时发现并纠正非标准制作的问题。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330千伏兰彭一线001#塔B、C相接地引下线连板进行更换，确保使用符合标准要求的整块薄钢板。同时，加强设备制造和采购阶段的质量管控，严格执行材料规格和制作工艺的标准要求，避免类似问题再次发生。</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