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2.《电能质量评估技术导则》（Q/GDW10651-2015）6.2.3根据评估对象对评估值影响程度的大小，按三级评估方法对其进行预测评估。5.1.3评估对象负荷或系统运行方式发生重大变化时应重新进行电能质量评估。附录E 电能质量预测评估报告主要内容及要求。《电气化铁路牵引站接入电网导则》（Q/GDW 11623-2017）9.1.2 电能质量预测评估按照Q/GDW 651规定的三级评估原则，考虑牵引负荷的特殊性，直接采用第二级和第三级评估。</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的质量标准要求，可能对设备的安全运行和可靠性造成潜在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设备制造阶段的质量控制不严格，导致使用了非标准材料；2) 设备采购阶段对供应商的资质审核不严，采购了不合格的产品；3) 设计阶段对材料规格的要求不够明确，导致生产过程中出现偏差。</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相关接地引下线连板进行更换，选用符合标准的整块薄钢板制作的连板。同时，加强对设备制造和采购环节的质量监督，确保所有部件均符合设计和标准要求。此外，对类似设备进行全面检查，排查是否存在同类问题。</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