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2.根据评估对象对评估值影响程度的大小，按三级评估方法对其进行预测评估。评估对象负荷或系统运行方式发生重大变化时应重新进行电能质量评估。预测评估报告主要内容应符合要求。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的质量要求和相关行业标准，可能对设备的安全运行和可靠性造成潜在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设备采购阶段选型不当，选择了非标准规格的材料；2) 设备制造阶段工艺控制不严，采用了非标准的焊接方式；3) 设备验收阶段检查不仔细，未能及时发现并纠正这一质量问题；4) 施工单位为了降低成本，擅自更改设计要求。</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组织专业人员对330千伏兰彭一线001#塔B、C相接地引下线连板进行详细检查，评估其实际状态和安全性。如确认存在安全隐患，应尽快更换为符合标准的整块薄钢板连板。同时，加强对设备采购、制造和验收环节的监督管理，确保所有部件均符合质量要求。</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