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2.根据评估对象对评估值影响程度的大小，按三级评估方法对其进行预测评估。评估对象负荷或系统运行方式发生重大变化时应重新进行电能质量评估。预测评估报告主要内容应符合要求。</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的整块薄钢板制作，而是由两块钢板通过焊接方式连接而成。这种非标准的制作方式不符合电力设备的质量要求和相关行业标准，可能对设备的安全运行和可靠性造成潜在影响。</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设备制造阶段的质量控制不严格，使用了非标准材料或工艺；2) 设备采购阶段对供应商的资质审核不严，导致不合格产品流入；3) 安装或验收阶段未能仔细检查，未能及时发现并纠正这一质量问题。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涉事接地引下线连板进行更换，选用符合标准的整块薄钢板制作的连板。同时，加强对同类设备的全面检查，排查是否存在类似问题。此外，需审查设备制造和采购环节的质量控制流程，确保未来避免类似情况发生。</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