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电能质量全过程技术监督精益化管理实施细则.xls - 规划可研阶段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2.根据评估对象对评估值影响程度的大小，按三级评估方法对其进行预测评估。评估对象负荷或系统运行方式发生重大变化时应重新进行电能质量评估。预测评估报告主要内容应符合要求。</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330千伏兰彭一线001#塔的B、C相接地引下线连板检查中发现，该连板并非采用标准的整块薄钢板制作，而是由两块钢板通过焊接方式连接而成。这种非标准的制作方式不符合电力设备安装的质量要求，可能对设备的电气性能和机械强度产生不利影响，进而影响整个电力系统的安全稳定运行。</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可能导致该问题的潜在原因包括：1) 设备制造阶段的质量控制不严格，导致使用了非标准材料；2) 安装过程中对材料规格的审核不到位，未能及时发现并纠正问题；3) 供应商提供的材料不符合设计要求，但未被有效检测出来。</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330千伏兰彭一线001#塔B、C相接地引下线连板进行更换，选用符合标准的整块薄钢板制作的连板。同时，加强安装过程中的材料审核和质量检验，确保所有部件均符合设计和规范要求。此外，对相关供应商进行评估，必要时更换可靠的供应商。</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