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整个电力系统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设备制造阶段的质量控制不严格，导致使用了非标准材料；2) 安装过程中对材料规格的审核不到位，未能及时发现并纠正问题；3) 供应商提供的材料不符合设计要求，但未被有效检测出来。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建议立即对330千伏兰彭一线001#塔B、C相接地引下线连板进行更换，确保使用符合标准的整块薄钢板。同时，加强对设备制造和安装过程的质量监督，严格执行材料验收和工艺标准，防止类似问题再次发生。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