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2.根据评估对象对评估值影响程度的大小，按三级评估方法对其进行预测评估。评估对象负荷或系统运行方式发生重大变化时应重新进行电能质量评估。预测评估报告主要内容应符合要求。</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的整块薄钢板制作，而是由两块钢板通过焊接方式连接而成。这种非标准的制作方式不符合电力设备安装的质量要求，可能对设备的电气性能和机械强度产生不利影响，进而影响整个电力系统的安全稳定运行。</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导致该问题的潜在原因可能包括：1) 设备制造阶段的质量控制不严格，选用非标准材料或加工工艺不当；2) 安装过程中对材料规格的审核不到位，未能及时发现并纠正不符合标准的部件；3) 供应商提供的材料不符合设计要求，且在验收环节未能有效识别。</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330千伏兰彭一线001#塔B、C相接地引下线连板进行更换，选用符合标准的整块薄钢板制作的连板。同时，加强安装过程中的材料审核和质量检验，确保所有部件均符合设计和规范要求。此外，对相关供应商进行评估，必要时更换合格的供应商。</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