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2.根据评估对象对评估值影响程度的大小，按三级评估方法对其进行预测评估。评估对象负荷或系统运行方式发生重大变化时应重新进行电能质量评估。预测评估报告主要内容应符合要求。</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安装的质量要求，可能对设备的电气性能和机械强度产生不利影响，进而影响电网的安全稳定运行。</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导致该问题的潜在原因可能包括：1) 设备制造阶段的质量控制不严，选用非标准材料；2) 安装过程中对材料规格的审核不到位；3) 施工单位对标准规范的理解和执行存在偏差；4) 监理或验收环节未能有效识别并纠正这一不符合标准的做法。</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更换符合标准的整块薄钢板连板，并对焊接部位进行专业检测，确保其电气和机械性能满足要求。同时，加强对施工过程的监督，严格审核材料规格和施工工艺，避免类似问题再次发生。此外，对相关责任单位进行通报批评，强化标准规范的学习和执行。</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