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4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4.变压器安装前，厂家应提供安装工艺设计，并向业主、施工、监理有关人员进行交底；施工项目部根据设备厂家提供的安装工艺设计编制主变施工方案，向监理报审批准，向全体施工人员交底后方可进行施工。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主变保护装置光纤标签信息错误，级联光纤未打印标签。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在设备安装阶段，工作人员疏忽未正确打印或粘贴光纤标签；2) 设备验收阶段检查不严格，未能发现标签错误和缺失；3) 运维检修阶段管理不到位，标签损坏或脱落未及时更换。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建议立即对所有相关光纤进行检查，纠正标签信息错误，并补充缺失的标签。同时，加强安装和验收阶段的质量控制，确保每根光纤都有正确的标识。定期进行运维检查，及时发现并处理标签问题。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