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
        <w:rPr>
          <w:rFonts w:ascii="黑体" w:hAnsi="黑体" w:eastAsia="黑体"/>
          <w:b/>
          <w:sz w:val="28"/>
        </w:rPr>
        <w:t>技术监督典型案例收集模板</w:t>
      </w:r>
    </w:p>
    <w:p/>
    <w:tbl>
      <w:tblPr>
        <w:tblStyle w:val="TableGrid"/>
        <w:tblW w:type="auto" w:w="0"/>
        <w:tblLook w:firstColumn="1" w:firstRow="1" w:lastColumn="0" w:lastRow="0" w:noHBand="0" w:noVBand="1" w:val="04A0"/>
      </w:tblPr>
      <w:tblGrid>
        <w:gridCol w:w="2160"/>
        <w:gridCol w:w="2592"/>
        <w:gridCol w:w="5760"/>
      </w:tblGrid>
      <w:tr>
        <w:tc>
          <w:tcPr>
            <w:tcW w:type="dxa" w:w="3312"/>
            <w:vAlign w:val="center"/>
          </w:tcPr>
          <w:p>
            <w:pPr>
              <w:jc w:val="left"/>
            </w:pPr>
            <w:r/>
            <w:r>
              <w:rPr>
                <w:rFonts w:ascii="仿宋_GB2312" w:hAnsi="仿宋_GB2312" w:eastAsia="仿宋_GB2312"/>
                <w:b/>
                <w:sz w:val="22"/>
              </w:rPr>
              <w:t>*单位名称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*案例名称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工程信息</w:t>
            </w:r>
          </w:p>
        </w:tc>
        <w:tc>
          <w:tcPr>
            <w:tcW w:type="dxa" w:w="3312"/>
            <w:vAlign w:val="center"/>
          </w:tcPr>
          <w:p>
            <w:pPr>
              <w:jc w:val="left"/>
            </w:pPr>
            <w:r/>
            <w:r>
              <w:rPr>
                <w:rFonts w:ascii="仿宋_GB2312" w:hAnsi="仿宋_GB2312" w:eastAsia="仿宋_GB2312"/>
                <w:b w:val="0"/>
                <w:sz w:val="22"/>
              </w:rPr>
              <w:t>*工程名称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*站线名称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设备信息</w:t>
            </w:r>
          </w:p>
        </w:tc>
        <w:tc>
          <w:tcPr>
            <w:tcW w:type="dxa" w:w="3312"/>
            <w:vAlign w:val="center"/>
          </w:tcPr>
          <w:p>
            <w:pPr>
              <w:jc w:val="left"/>
            </w:pPr>
            <w:r/>
            <w:r>
              <w:rPr>
                <w:rFonts w:ascii="仿宋_GB2312" w:hAnsi="仿宋_GB2312" w:eastAsia="仿宋_GB2312"/>
                <w:b w:val="0"/>
                <w:sz w:val="22"/>
              </w:rPr>
              <w:t>*设备类型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*设备电压等级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*生产厂家全称（或责任单位）</w:t>
            </w:r>
          </w:p>
        </w:tc>
        <w:tc>
          <w:tcPr>
            <w:tcW w:type="dxa" w:w="331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*监督专业</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*监督阶段</w:t>
            </w:r>
          </w:p>
        </w:tc>
        <w:tc>
          <w:tcPr>
            <w:tcW w:type="dxa" w:w="6624"/>
            <w:gridSpan w:val="2"/>
            <w:vAlign w:val="center"/>
          </w:tcPr>
          <w:p>
            <w:pPr>
              <w:jc w:val="left"/>
            </w:pPr>
            <w:r/>
            <w:r>
              <w:rPr>
                <w:rFonts w:ascii="仿宋_GB2312" w:hAnsi="仿宋_GB2312" w:eastAsia="仿宋_GB2312"/>
                <w:b w:val="0"/>
                <w:sz w:val="22"/>
              </w:rPr>
            </w:r>
          </w:p>
        </w:tc>
      </w:tr>
      <w:tr>
        <w:tc>
          <w:tcPr>
            <w:tcW w:type="dxa" w:w="3312"/>
            <w:vMerge w:val="restart"/>
            <w:vAlign w:val="center"/>
          </w:tcPr>
          <w:p>
            <w:pPr>
              <w:jc w:val="center"/>
            </w:pPr>
            <w:r/>
            <w:r>
              <w:rPr>
                <w:rFonts w:ascii="仿宋_GB2312" w:hAnsi="仿宋_GB2312" w:eastAsia="仿宋_GB2312"/>
                <w:b/>
                <w:sz w:val="22"/>
              </w:rPr>
              <w:t>依据细则（标准）</w:t>
            </w:r>
          </w:p>
        </w:tc>
        <w:tc>
          <w:tcPr>
            <w:tcW w:type="dxa" w:w="3312"/>
            <w:vAlign w:val="center"/>
          </w:tcPr>
          <w:p>
            <w:pPr>
              <w:jc w:val="left"/>
            </w:pPr>
            <w:r/>
            <w:r>
              <w:rPr>
                <w:rFonts w:ascii="仿宋_GB2312" w:hAnsi="仿宋_GB2312" w:eastAsia="仿宋_GB2312"/>
                <w:b w:val="0"/>
                <w:sz w:val="22"/>
              </w:rPr>
              <w:t>*细则（标准）名称</w:t>
            </w:r>
          </w:p>
        </w:tc>
        <w:tc>
          <w:tcPr>
            <w:tcW w:type="dxa" w:w="3312"/>
            <w:vAlign w:val="center"/>
          </w:tcPr>
          <w:p>
            <w:pPr>
              <w:jc w:val="left"/>
            </w:pPr>
            <w:r/>
            <w:r>
              <w:rPr>
                <w:rFonts w:ascii="仿宋_GB2312" w:hAnsi="仿宋_GB2312" w:eastAsia="仿宋_GB2312"/>
                <w:b w:val="0"/>
                <w:sz w:val="22"/>
              </w:rPr>
              <w:t>直流隔离开关和接地开关全过程技术监督精益化管理实施细则.xls</w:t>
            </w:r>
          </w:p>
        </w:tc>
      </w:tr>
      <w:tr>
        <w:tc>
          <w:tcPr>
            <w:tcW w:type="dxa" w:w="3312"/>
            <w:vMerge/>
          </w:tcPr>
          <w:p/>
        </w:tc>
        <w:tc>
          <w:tcPr>
            <w:tcW w:type="dxa" w:w="3312"/>
            <w:vAlign w:val="center"/>
          </w:tcPr>
          <w:p>
            <w:pPr>
              <w:jc w:val="left"/>
            </w:pPr>
            <w:r/>
            <w:r>
              <w:rPr>
                <w:rFonts w:ascii="仿宋_GB2312" w:hAnsi="仿宋_GB2312" w:eastAsia="仿宋_GB2312"/>
                <w:b w:val="0"/>
                <w:sz w:val="22"/>
              </w:rPr>
              <w:t>*条款序号</w:t>
            </w:r>
          </w:p>
        </w:tc>
        <w:tc>
          <w:tcPr>
            <w:tcW w:type="dxa" w:w="3312"/>
            <w:vAlign w:val="center"/>
          </w:tcPr>
          <w:p>
            <w:pPr>
              <w:jc w:val="left"/>
            </w:pPr>
            <w:r/>
            <w:r>
              <w:rPr>
                <w:rFonts w:ascii="仿宋_GB2312" w:hAnsi="仿宋_GB2312" w:eastAsia="仿宋_GB2312"/>
                <w:b w:val="0"/>
                <w:sz w:val="22"/>
              </w:rPr>
              <w:t>2</w:t>
            </w:r>
          </w:p>
        </w:tc>
      </w:tr>
      <w:tr>
        <w:tc>
          <w:tcPr>
            <w:tcW w:type="dxa" w:w="3312"/>
            <w:vMerge/>
          </w:tcPr>
          <w:p/>
        </w:tc>
        <w:tc>
          <w:tcPr>
            <w:tcW w:type="dxa" w:w="3312"/>
            <w:vAlign w:val="center"/>
          </w:tcPr>
          <w:p>
            <w:pPr>
              <w:jc w:val="left"/>
            </w:pPr>
            <w:r/>
            <w:r>
              <w:rPr>
                <w:rFonts w:ascii="仿宋_GB2312" w:hAnsi="仿宋_GB2312" w:eastAsia="仿宋_GB2312"/>
                <w:b w:val="0"/>
                <w:sz w:val="22"/>
              </w:rPr>
              <w:t>*监督标准</w:t>
            </w:r>
          </w:p>
        </w:tc>
        <w:tc>
          <w:tcPr>
            <w:tcW w:type="dxa" w:w="3312"/>
            <w:vAlign w:val="center"/>
          </w:tcPr>
          <w:p>
            <w:pPr>
              <w:jc w:val="left"/>
            </w:pPr>
            <w:r/>
            <w:r>
              <w:rPr>
                <w:rFonts w:ascii="仿宋_GB2312" w:hAnsi="仿宋_GB2312" w:eastAsia="仿宋_GB2312"/>
                <w:b w:val="0"/>
                <w:sz w:val="22"/>
              </w:rPr>
              <w:t>2.凡不属于主回路或辅助回路的且需要接地的所有金属部分都应接地（如爬梯等），外壳、构架等的相互电气连接宜采用紧固连接（如螺栓连接或焊接），以保证电气上连通。3.隔离开关和接地开关的底座上应有与规定的故障条件相适应的接地端子和接地导体，接地回路导体应有足够的截面，具有通过接地短路电流的能力。</w:t>
            </w:r>
          </w:p>
        </w:tc>
      </w:tr>
      <w:tr>
        <w:tc>
          <w:tcPr>
            <w:tcW w:type="dxa" w:w="3312"/>
            <w:vAlign w:val="center"/>
          </w:tcPr>
          <w:p>
            <w:pPr>
              <w:jc w:val="left"/>
            </w:pPr>
            <w:r/>
            <w:r>
              <w:rPr>
                <w:rFonts w:ascii="仿宋_GB2312" w:hAnsi="仿宋_GB2312" w:eastAsia="仿宋_GB2312"/>
                <w:b/>
                <w:sz w:val="22"/>
              </w:rPr>
              <w:t>*发现时间</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*问题描述</w:t>
            </w:r>
          </w:p>
        </w:tc>
        <w:tc>
          <w:tcPr>
            <w:tcW w:type="dxa" w:w="6624"/>
            <w:gridSpan w:val="2"/>
            <w:vAlign w:val="center"/>
          </w:tcPr>
          <w:p>
            <w:pPr>
              <w:jc w:val="left"/>
            </w:pPr>
            <w:r/>
            <w:r>
              <w:rPr>
                <w:rFonts w:ascii="仿宋_GB2312" w:hAnsi="仿宋_GB2312" w:eastAsia="仿宋_GB2312"/>
                <w:b w:val="0"/>
                <w:sz w:val="22"/>
              </w:rPr>
              <w:t>接地变接地点接触面积不足，设备箱体主接地存在缝隙，GIS室接地排搭接处截面不足（较大）。</w:t>
            </w:r>
          </w:p>
        </w:tc>
      </w:tr>
      <w:tr>
        <w:tc>
          <w:tcPr>
            <w:tcW w:type="dxa" w:w="3312"/>
            <w:vAlign w:val="center"/>
          </w:tcPr>
          <w:p>
            <w:pPr>
              <w:jc w:val="left"/>
            </w:pPr>
            <w:r/>
            <w:r>
              <w:rPr>
                <w:rFonts w:ascii="仿宋_GB2312" w:hAnsi="仿宋_GB2312" w:eastAsia="仿宋_GB2312"/>
                <w:b/>
                <w:sz w:val="22"/>
              </w:rPr>
              <w:t>*问题原因分析</w:t>
            </w:r>
          </w:p>
        </w:tc>
        <w:tc>
          <w:tcPr>
            <w:tcW w:type="dxa" w:w="6624"/>
            <w:gridSpan w:val="2"/>
            <w:vAlign w:val="center"/>
          </w:tcPr>
          <w:p>
            <w:pPr>
              <w:jc w:val="left"/>
            </w:pPr>
            <w:r/>
            <w:r>
              <w:rPr>
                <w:rFonts w:ascii="仿宋_GB2312" w:hAnsi="仿宋_GB2312" w:eastAsia="仿宋_GB2312"/>
                <w:b w:val="0"/>
                <w:sz w:val="22"/>
              </w:rPr>
              <w:t>可能导致该问题的潜在原因包括：1. 设备安装阶段操作不当，未严格按照标准进行接地连接；2. 设备制造阶段材料选择不当或加工工艺不佳；3. 长期运行过程中，由于环境因素（如湿度、温度变化）导致接地连接部位松动或腐蚀；4. 维护检修不到位，未能及时发现并处理接地系统的隐患。</w:t>
            </w:r>
          </w:p>
        </w:tc>
      </w:tr>
      <w:tr>
        <w:tc>
          <w:tcPr>
            <w:tcW w:type="dxa" w:w="3312"/>
            <w:vAlign w:val="center"/>
          </w:tcPr>
          <w:p>
            <w:pPr>
              <w:jc w:val="left"/>
            </w:pPr>
            <w:r/>
            <w:r>
              <w:rPr>
                <w:rFonts w:ascii="仿宋_GB2312" w:hAnsi="仿宋_GB2312" w:eastAsia="仿宋_GB2312"/>
                <w:b/>
                <w:sz w:val="22"/>
              </w:rPr>
              <w:t>*监督意见</w:t>
            </w:r>
          </w:p>
        </w:tc>
        <w:tc>
          <w:tcPr>
            <w:tcW w:type="dxa" w:w="6624"/>
            <w:gridSpan w:val="2"/>
            <w:vAlign w:val="center"/>
          </w:tcPr>
          <w:p>
            <w:pPr>
              <w:jc w:val="left"/>
            </w:pPr>
            <w:r/>
            <w:r>
              <w:rPr>
                <w:rFonts w:ascii="仿宋_GB2312" w:hAnsi="仿宋_GB2312" w:eastAsia="仿宋_GB2312"/>
                <w:b w:val="0"/>
                <w:sz w:val="22"/>
              </w:rPr>
              <w:t>1. 立即对存在问题的接地部位进行整改，确保接地点接触面积足够、主接地无缝隙、接地排搭接处截面符合要求；2. 加强对接地系统的定期检查和维护，及时发现并处理潜在问题；3. 在今后的设备安装和维护过程中，严格遵守相关标准和规范，确保接地系统的可靠性和安全性。</w:t>
            </w:r>
          </w:p>
        </w:tc>
      </w:tr>
      <w:tr>
        <w:tc>
          <w:tcPr>
            <w:tcW w:type="dxa" w:w="3312"/>
            <w:vAlign w:val="center"/>
          </w:tcPr>
          <w:p>
            <w:pPr>
              <w:jc w:val="left"/>
            </w:pPr>
            <w:r/>
            <w:r>
              <w:rPr>
                <w:rFonts w:ascii="仿宋_GB2312" w:hAnsi="仿宋_GB2312" w:eastAsia="仿宋_GB2312"/>
                <w:b/>
                <w:sz w:val="22"/>
              </w:rPr>
              <w:t>*实际整改措施</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其他要说明的问题</w:t>
            </w:r>
          </w:p>
        </w:tc>
        <w:tc>
          <w:tcPr>
            <w:tcW w:type="dxa" w:w="6624"/>
            <w:gridSpan w:val="2"/>
            <w:vAlign w:val="center"/>
          </w:tcPr>
          <w:p>
            <w:pPr>
              <w:jc w:val="left"/>
            </w:pPr>
            <w:r/>
            <w:r>
              <w:rPr>
                <w:rFonts w:ascii="仿宋_GB2312" w:hAnsi="仿宋_GB2312" w:eastAsia="仿宋_GB2312"/>
                <w:b w:val="0"/>
                <w:sz w:val="22"/>
              </w:rPr>
              <w:t>无</w:t>
            </w:r>
          </w:p>
        </w:tc>
      </w:tr>
      <w:tr>
        <w:tc>
          <w:tcPr>
            <w:tcW w:type="dxa" w:w="3312"/>
            <w:vAlign w:val="center"/>
          </w:tcPr>
          <w:p>
            <w:pPr>
              <w:jc w:val="left"/>
            </w:pPr>
            <w:r/>
            <w:r>
              <w:rPr>
                <w:rFonts w:ascii="仿宋_GB2312" w:hAnsi="仿宋_GB2312" w:eastAsia="仿宋_GB2312"/>
                <w:b/>
                <w:sz w:val="22"/>
              </w:rPr>
              <w:t>*问题照片</w:t>
            </w:r>
          </w:p>
        </w:tc>
        <w:tc>
          <w:tcPr>
            <w:tcW w:type="dxa" w:w="6624"/>
            <w:gridSpan w:val="2"/>
            <w:vAlign w:val="center"/>
          </w:tcPr>
          <w:p>
            <w:pPr>
              <w:jc w:val="center"/>
            </w:pPr>
            <w:r/>
            <w:r>
              <w:rPr>
                <w:rFonts w:ascii="仿宋_GB2312" w:hAnsi="仿宋_GB2312" w:eastAsia="仿宋_GB2312"/>
                <w:b w:val="0"/>
                <w:sz w:val="22"/>
              </w:rPr>
              <w:t>无照片</w:t>
            </w:r>
          </w:p>
        </w:tc>
      </w:tr>
      <w:tr>
        <w:tc>
          <w:tcPr>
            <w:tcW w:type="dxa" w:w="3312"/>
            <w:vAlign w:val="center"/>
          </w:tcPr>
          <w:p>
            <w:pPr>
              <w:jc w:val="left"/>
            </w:pPr>
            <w:r/>
            <w:r>
              <w:rPr>
                <w:rFonts w:ascii="仿宋_GB2312" w:hAnsi="仿宋_GB2312" w:eastAsia="仿宋_GB2312"/>
                <w:b/>
                <w:sz w:val="22"/>
              </w:rPr>
              <w:t>案例附件</w:t>
            </w:r>
          </w:p>
        </w:tc>
        <w:tc>
          <w:tcPr>
            <w:tcW w:type="dxa" w:w="6624"/>
            <w:gridSpan w:val="2"/>
            <w:vAlign w:val="center"/>
          </w:tcPr>
          <w:p>
            <w:pPr>
              <w:jc w:val="left"/>
            </w:pPr>
            <w:r/>
            <w:r>
              <w:rPr>
                <w:rFonts w:ascii="仿宋_GB2312" w:hAnsi="仿宋_GB2312" w:eastAsia="仿宋_GB2312"/>
                <w:b w:val="0"/>
                <w:sz w:val="22"/>
              </w:rPr>
              <w:t>无</w:t>
            </w: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bl>
    <w:p/>
    <w:p/>
    <w:p/>
    <w:p/>
    <w:p/>
    <w:p/>
    <w:p/>
    <w:p/>
    <w:p/>
    <w:p/>
    <w:p/>
    <w:p/>
    <w:p/>
    <w:p/>
    <w:p/>
    <w:p/>
    <w:p/>
    <w:p/>
    <w:p/>
    <w:p/>
    <w:p/>
    <w:p/>
    <w:p/>
    <w:p/>
    <w:p/>
    <w:p/>
    <w:p/>
    <w:p/>
    <w:p/>
    <w:p/>
    <w:p/>
    <w:p/>
    <w:p/>
    <w:p/>
    <w:p/>
    <w:p/>
    <w:p/>
    <w:p/>
    <w:p/>
    <w:p/>
    <w:p/>
    <w:p/>
    <w:p/>
    <w:p/>
    <w:p/>
    <w:p/>
    <w:p/>
    <w:sectPr w:rsidR="00FC693F" w:rsidRPr="0006063C" w:rsidSect="00034616">
      <w:pgSz w:w="12240" w:h="15840"/>
      <w:pgMar w:top="720"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