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接地网全过程技术监督精益化管理实施细则.xls</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未知</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变电站控制室及保护小室应独立敷设与主接地网紧密连接的二次等电位接地网。</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主控室、主变本体汇控柜及110千伏各间隔汇控柜二次等电位地网不规范，主控室二次等电位未使用4根不小于50mm2的铜缆与变电站主地网一点连接、主变本体汇控柜及110千伏各间隔汇控柜二次等电位铜排至电缆沟内二次等电位网及一次接地网连接的铜缆截面不足100mm2。</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可能的原因包括：1. 设备安装阶段未严格按照设计图纸和规范施工；2. 材料采购阶段选用的铜缆规格不符合要求；3. 工程设计阶段对接地系统的设计考虑不周全；4. 运维检修阶段对地网连接的检查和维护不到位。</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1. 立即对二次等电位地网连接进行整改，更换符合标准的铜缆并确保正确连接；2. 加强对施工过程的监督，确保所有连接均符合相关规范；3. 在后续运维中定期检查接地系统的状态，确保其有效性和可靠性。</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无</w:t>
            </w:r>
          </w:p>
        </w:tc>
      </w:tr>
      <w:tr>
        <w:tc>
          <w:tcPr>
            <w:tcW w:type="dxa" w:w="3312"/>
            <w:vAlign w:val="center"/>
          </w:tcPr>
          <w:p>
            <w:pPr>
              <w:jc w:val="left"/>
            </w:pPr>
            <w:r/>
            <w:r>
              <w:rPr>
                <w:rFonts w:ascii="仿宋_GB2312" w:hAnsi="仿宋_GB2312" w:eastAsia="仿宋_GB2312"/>
                <w:b/>
                <w:sz w:val="22"/>
              </w:rPr>
              <w:t>*问题照片</w:t>
            </w:r>
          </w:p>
        </w:tc>
        <w:tc>
          <w:tcPr>
            <w:tcW w:type="dxa" w:w="6624"/>
            <w:gridSpan w:val="2"/>
            <w:vAlign w:val="center"/>
          </w:tcPr>
          <w:p>
            <w:pPr>
              <w:jc w:val="center"/>
            </w:pPr>
            <w:r/>
            <w:r>
              <w:rPr>
                <w:rFonts w:ascii="仿宋_GB2312" w:hAnsi="仿宋_GB2312" w:eastAsia="仿宋_GB2312"/>
                <w:b w:val="0"/>
                <w:sz w:val="22"/>
              </w:rPr>
              <w:t>无照片</w:t>
            </w:r>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无</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