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 - 设备安装阶段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施工人员操作不当，未按照标准规范进行接线；2. 设计图纸与实际施工不符，导致接线混乱；3. 竣工验收阶段检查不严格，未能及时发现并纠正问题。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建议立即对相关电流二次回路进行全面检查，重新规范接线，确保每个端子仅压接一根线芯。同时，加强施工人员的培训，提高其规范操作意识，并在后续项目中加强竣工验收环节的监督检查。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