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操作机构故障导致断路器无法正常动作；3. 环境因素（如温度、湿度）影响断路器性能；4. 维护不当或维护周期不合理导致部件损坏。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对所有同型号断路器进行全面检查，特别是动弧触头和不锈钢拉杆部分；2. 加强对断路器操作机构的定期维护和测试；3. 分析断裂拉杆的材质和工艺，必要时更换更可靠的材料；4. 优化断路器的维护计划，确保及时发现并处理潜在故障。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