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水电站监控系统全过程技术监督精益化管理实施细则.xls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4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1.应认真做好月度、年度运行分析和典型故障、缺陷的专题分析工作。2.应定期收集分析计算机监控系统、水机保护的运行状况，对技术监督指标定期进行测试，按时上报技术监督报表。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请分析这个图片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由于缺乏具体信息，无法进行有效的原因分析。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建议用户提供详细的设备状态描述或相关图片，以便进行准确的分析和处理。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