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断路器机械部件老化或制造缺陷，导致不锈钢拉杆断裂；2. 操作过程中存在过大的机械应力，导致部件损坏；3. 维护不当，未能及时发现并处理潜在的机械损伤；4. 环境因素（如温度、湿度）对设备材料性能的影响。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同型号断路器进行专项检查，重点检查动弧触头及不锈钢拉杆的状态。同时，加强日常巡检和维护，定期进行机械特性测试，确保设备处于良好状态。对于已发现问题的断路器，应及时更换并分析故障原因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