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  <w:r>
        <w:rPr>
          <w:rFonts w:ascii="黑体" w:hAnsi="黑体" w:eastAsia="黑体"/>
          <w:b/>
          <w:sz w:val="28"/>
        </w:rPr>
        <w:t>技术监督典型案例收集模板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592"/>
        <w:gridCol w:w="5760"/>
      </w:tblGrid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*单位名称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*案例名称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工程信息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*站线名称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设备信息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*生产厂家全称（或责任单位）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*监督专业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*监督阶段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规划可研阶段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依据细则（标准）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*细则（标准）名称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串补及可控串补全过程技术监督精益化管理实施细则.xls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*条款序号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1.1.1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*监督标准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应根据应用目标，通过潮流计算、稳定分析和经济比较分析，确定装设串补装置的类型、安装地点、串补度和额定电流等基本参数。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*发现时间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*问题描述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请分析这个图片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*问题原因分析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由于缺乏具体信息，无法进行有效的原因分析。可能的原因包括设备正常、轻微故障、严重故障等，具体需进一步详细描述或检查。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*监督意见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建议用户提供详细的设备状态描述或相关图片，以便进行准确的分析和诊断。在规划可研阶段，应注重设备选型和预防性维护策略的制定。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*实际整改措施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其他要说明的问题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*问题照片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无照片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案例附件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 w:rsidR="00FC693F" w:rsidRPr="0006063C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