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规划可研阶段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输电杆塔全过程技术监督精益化管理实施细则.xls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1.1.2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路径选择应避开军事设施、大型工矿企业及重要设施等，符合城镇规划，当无法避让时应取得相关协议，并采取相关措施；路径选择应尽可能避开河道、澡泽地、林区、水库、养鱼池及油料作物种植地等鸟害故障的多发区域。路径选择宜避开不良地质地带和采动影响区，当无法避让时应采取必要的措施；宜避开原始森林、自然保护区和风景名胜区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你好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由于缺乏具体描述，无法进行原因分析。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建议用户提供详细的设备状态描述或相关数据，以便进行准确的分析和处理。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