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None</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 - 工程设计阶段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未知</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接有二次电缆的开关场就地端子箱内（汇控柜、智能控制柜）应设有铜排（不要求与端子箱外壳绝缘），二次电缆屏蔽层、保护装置及辅助装置接地端子、屏柜本体通过铜排接地。铜排截面积应不小于100mm2，一般设置在端子箱下部，通过截面积不小于100mm2的铜缆与电缆沟内不小于的100mm2的专用铜排（缆）及变电站主地网相连。</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设备安装阶段未严格按照设计图纸和相关标准进行施工；2. 材料采购阶段选用的铜缆规格不符合要求；3. 工程设计阶段对二次等电位地网的设计考虑不周全；4. 运维检修阶段对地网连接的检查和维护不到位。</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立即对主控室、主变本体汇控柜及110千伏各间隔汇控柜的二次等电位地网进行整改，确保使用符合标准的铜缆进行连接；2. 加强对施工过程的监督，确保所有连接均按照设计要求和标准进行；3. 定期对二次等电位地网进行检查和维护，确保其长期有效。</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