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None</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 - 工程设计阶段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未知</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工程设计阶段对二次等电位地网的设计考虑不周全；4. 运维检修阶段未能及时发现并纠正存在的问题。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加强对施工过程的监督，确保所有电气连接均按照设计要求和相关标准执行；3. 定期进行接地系统的检查和维护，确保其长期有效运行。</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