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None</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继电保护全过程技术监督精益化管理实施细则.xls - 工程设计阶段</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2.1.5</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接有二次电缆的开关场就地端子箱内（汇控柜、智能控制柜）应设有铜排（不要求与端子箱外壳绝缘），二次电缆屏蔽层、保护装置及辅助装置接地端子、屏柜本体通过铜排接地。铜排截面积应不小于100mm2，一般设置在端子箱下部，通过截面积不小于100mm2的铜缆与电缆沟内不小于的100mm2的专用铜排（缆）及变电站主地网相连。</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主控室、主变本体汇控柜及110千伏各间隔汇控柜二次等电位地网不规范，主控室二次等电位未使用4根不小于50mm2的铜缆与变电站主地网一点连接、主变本体汇控柜及110千伏各间隔汇控柜二次等电位铜排至电缆沟内二次等电位网及一次接地网连接的铜缆截面不足100mm2。</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设备安装阶段未严格按照设计图纸和相关标准进行施工；2. 材料采购阶段选用的铜缆规格不符合要求；3. 工程设计阶段对二次等电位地网的设计不够重视或设计不合理；4. 运维检修阶段未能及时发现并纠正这些问题。</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立即检查并整改主控室、主变本体汇控柜及110千伏各间隔汇控柜的二次等电位地网连接，确保使用符合标准的铜缆（如4根不小于50mm²的铜缆和截面不少于100mm²的铜缆）进行连接；2. 加强对施工过程的监督，确保所有电气连接均符合相关标准和规范；3. 定期进行接地系统的检测和维护，确保其有效性和可靠性。</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