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rFonts w:ascii="黑体" w:hAnsi="黑体" w:eastAsia="黑体"/>
          <w:b/>
          <w:sz w:val="28"/>
        </w:rPr>
        <w:t>技术监督典型案例收集模板</w:t>
      </w:r>
    </w:p>
    <w:p/>
    <w:tbl>
      <w:tblPr>
        <w:tblStyle w:val="TableGrid"/>
        <w:tblW w:type="auto" w:w="0"/>
        <w:tblLook w:firstColumn="1" w:firstRow="1" w:lastColumn="0" w:lastRow="0" w:noHBand="0" w:noVBand="1" w:val="04A0"/>
      </w:tblPr>
      <w:tblGrid>
        <w:gridCol w:w="2160"/>
        <w:gridCol w:w="2592"/>
        <w:gridCol w:w="5760"/>
      </w:tblGrid>
      <w:tr>
        <w:tc>
          <w:tcPr>
            <w:tcW w:type="dxa" w:w="3312"/>
            <w:vAlign w:val="center"/>
          </w:tcPr>
          <w:p>
            <w:pPr>
              <w:jc w:val="left"/>
            </w:pPr>
            <w:r/>
            <w:r>
              <w:rPr>
                <w:rFonts w:ascii="仿宋_GB2312" w:hAnsi="仿宋_GB2312" w:eastAsia="仿宋_GB2312"/>
                <w:b/>
                <w:sz w:val="22"/>
              </w:rPr>
              <w:t>*单位名称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*案例名称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工程信息</w:t>
            </w:r>
          </w:p>
        </w:tc>
        <w:tc>
          <w:tcPr>
            <w:tcW w:type="dxa" w:w="3312"/>
            <w:vAlign w:val="center"/>
          </w:tcPr>
          <w:p>
            <w:pPr>
              <w:jc w:val="left"/>
            </w:pPr>
            <w:r/>
            <w:r>
              <w:rPr>
                <w:rFonts w:ascii="仿宋_GB2312" w:hAnsi="仿宋_GB2312" w:eastAsia="仿宋_GB2312"/>
                <w:b w:val="0"/>
                <w:sz w:val="22"/>
              </w:rPr>
              <w:t>*工程名称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*站线名称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设备信息</w:t>
            </w:r>
          </w:p>
        </w:tc>
        <w:tc>
          <w:tcPr>
            <w:tcW w:type="dxa" w:w="3312"/>
            <w:vAlign w:val="center"/>
          </w:tcPr>
          <w:p>
            <w:pPr>
              <w:jc w:val="left"/>
            </w:pPr>
            <w:r/>
            <w:r>
              <w:rPr>
                <w:rFonts w:ascii="仿宋_GB2312" w:hAnsi="仿宋_GB2312" w:eastAsia="仿宋_GB2312"/>
                <w:b w:val="0"/>
                <w:sz w:val="22"/>
              </w:rPr>
              <w:t>*设备类型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*设备电压等级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*生产厂家全称（或责任单位）</w:t>
            </w:r>
          </w:p>
        </w:tc>
        <w:tc>
          <w:tcPr>
            <w:tcW w:type="dxa" w:w="331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*监督专业</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*监督阶段</w:t>
            </w:r>
          </w:p>
        </w:tc>
        <w:tc>
          <w:tcPr>
            <w:tcW w:type="dxa" w:w="6624"/>
            <w:gridSpan w:val="2"/>
            <w:vAlign w:val="center"/>
          </w:tcPr>
          <w:p>
            <w:pPr>
              <w:jc w:val="left"/>
            </w:pPr>
            <w:r/>
            <w:r>
              <w:rPr>
                <w:rFonts w:ascii="仿宋_GB2312" w:hAnsi="仿宋_GB2312" w:eastAsia="仿宋_GB2312"/>
                <w:b w:val="0"/>
                <w:sz w:val="22"/>
              </w:rPr>
              <w:t>None</w:t>
            </w:r>
          </w:p>
        </w:tc>
      </w:tr>
      <w:tr>
        <w:tc>
          <w:tcPr>
            <w:tcW w:type="dxa" w:w="3312"/>
            <w:vMerge w:val="restart"/>
            <w:vAlign w:val="center"/>
          </w:tcPr>
          <w:p>
            <w:pPr>
              <w:jc w:val="center"/>
            </w:pPr>
            <w:r/>
            <w:r>
              <w:rPr>
                <w:rFonts w:ascii="仿宋_GB2312" w:hAnsi="仿宋_GB2312" w:eastAsia="仿宋_GB2312"/>
                <w:b/>
                <w:sz w:val="22"/>
              </w:rPr>
              <w:t>依据细则（标准）</w:t>
            </w:r>
          </w:p>
        </w:tc>
        <w:tc>
          <w:tcPr>
            <w:tcW w:type="dxa" w:w="3312"/>
            <w:vAlign w:val="center"/>
          </w:tcPr>
          <w:p>
            <w:pPr>
              <w:jc w:val="left"/>
            </w:pPr>
            <w:r/>
            <w:r>
              <w:rPr>
                <w:rFonts w:ascii="仿宋_GB2312" w:hAnsi="仿宋_GB2312" w:eastAsia="仿宋_GB2312"/>
                <w:b w:val="0"/>
                <w:sz w:val="22"/>
              </w:rPr>
              <w:t>*细则（标准）名称</w:t>
            </w:r>
          </w:p>
        </w:tc>
        <w:tc>
          <w:tcPr>
            <w:tcW w:type="dxa" w:w="3312"/>
            <w:vAlign w:val="center"/>
          </w:tcPr>
          <w:p>
            <w:pPr>
              <w:jc w:val="left"/>
            </w:pPr>
            <w:r/>
            <w:r>
              <w:rPr>
                <w:rFonts w:ascii="仿宋_GB2312" w:hAnsi="仿宋_GB2312" w:eastAsia="仿宋_GB2312"/>
                <w:b w:val="0"/>
                <w:sz w:val="22"/>
              </w:rPr>
              <w:t>接地网全过程技术监督精益化管理实施细则.xls</w:t>
            </w:r>
          </w:p>
        </w:tc>
      </w:tr>
      <w:tr>
        <w:tc>
          <w:tcPr>
            <w:tcW w:type="dxa" w:w="3312"/>
            <w:vMerge/>
          </w:tcPr>
          <w:p/>
        </w:tc>
        <w:tc>
          <w:tcPr>
            <w:tcW w:type="dxa" w:w="3312"/>
            <w:vAlign w:val="center"/>
          </w:tcPr>
          <w:p>
            <w:pPr>
              <w:jc w:val="left"/>
            </w:pPr>
            <w:r/>
            <w:r>
              <w:rPr>
                <w:rFonts w:ascii="仿宋_GB2312" w:hAnsi="仿宋_GB2312" w:eastAsia="仿宋_GB2312"/>
                <w:b w:val="0"/>
                <w:sz w:val="22"/>
              </w:rPr>
              <w:t>*条款序号</w:t>
            </w:r>
          </w:p>
        </w:tc>
        <w:tc>
          <w:tcPr>
            <w:tcW w:type="dxa" w:w="3312"/>
            <w:vAlign w:val="center"/>
          </w:tcPr>
          <w:p>
            <w:pPr>
              <w:jc w:val="left"/>
            </w:pPr>
            <w:r/>
            <w:r>
              <w:rPr>
                <w:rFonts w:ascii="仿宋_GB2312" w:hAnsi="仿宋_GB2312" w:eastAsia="仿宋_GB2312"/>
                <w:b w:val="0"/>
                <w:sz w:val="22"/>
              </w:rPr>
              <w:t>7.1.7</w:t>
            </w:r>
          </w:p>
        </w:tc>
      </w:tr>
      <w:tr>
        <w:tc>
          <w:tcPr>
            <w:tcW w:type="dxa" w:w="3312"/>
            <w:vMerge/>
          </w:tcPr>
          <w:p/>
        </w:tc>
        <w:tc>
          <w:tcPr>
            <w:tcW w:type="dxa" w:w="3312"/>
            <w:vAlign w:val="center"/>
          </w:tcPr>
          <w:p>
            <w:pPr>
              <w:jc w:val="left"/>
            </w:pPr>
            <w:r/>
            <w:r>
              <w:rPr>
                <w:rFonts w:ascii="仿宋_GB2312" w:hAnsi="仿宋_GB2312" w:eastAsia="仿宋_GB2312"/>
                <w:b w:val="0"/>
                <w:sz w:val="22"/>
              </w:rPr>
              <w:t>*监督标准</w:t>
            </w:r>
          </w:p>
        </w:tc>
        <w:tc>
          <w:tcPr>
            <w:tcW w:type="dxa" w:w="3312"/>
            <w:vAlign w:val="center"/>
          </w:tcPr>
          <w:p>
            <w:pPr>
              <w:jc w:val="left"/>
            </w:pPr>
            <w:r/>
            <w:r>
              <w:rPr>
                <w:rFonts w:ascii="仿宋_GB2312" w:hAnsi="仿宋_GB2312" w:eastAsia="仿宋_GB2312"/>
                <w:b w:val="0"/>
                <w:sz w:val="22"/>
              </w:rPr>
              <w:t>变电站控制室及保护小室应独立敷设与主接地网紧密连接的二次等电位接地网。</w:t>
            </w:r>
          </w:p>
        </w:tc>
      </w:tr>
      <w:tr>
        <w:tc>
          <w:tcPr>
            <w:tcW w:type="dxa" w:w="3312"/>
            <w:vAlign w:val="center"/>
          </w:tcPr>
          <w:p>
            <w:pPr>
              <w:jc w:val="left"/>
            </w:pPr>
            <w:r/>
            <w:r>
              <w:rPr>
                <w:rFonts w:ascii="仿宋_GB2312" w:hAnsi="仿宋_GB2312" w:eastAsia="仿宋_GB2312"/>
                <w:b/>
                <w:sz w:val="22"/>
              </w:rPr>
              <w:t>*发现时间</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*问题描述</w:t>
            </w:r>
          </w:p>
        </w:tc>
        <w:tc>
          <w:tcPr>
            <w:tcW w:type="dxa" w:w="6624"/>
            <w:gridSpan w:val="2"/>
            <w:vAlign w:val="center"/>
          </w:tcPr>
          <w:p>
            <w:pPr>
              <w:jc w:val="left"/>
            </w:pPr>
            <w:r/>
            <w:r>
              <w:rPr>
                <w:rFonts w:ascii="仿宋_GB2312" w:hAnsi="仿宋_GB2312" w:eastAsia="仿宋_GB2312"/>
                <w:b w:val="0"/>
                <w:sz w:val="22"/>
              </w:rPr>
              <w:t>主控室、主变本体汇控柜及110千伏各间隔汇控柜二次等电位地网不规范，主控室二次等电位未使用4根不小于50mm2的铜缆与变电站主地网一点连接、主变本体汇控柜及110千伏各间隔汇控柜二次等电位铜排至电缆沟内二次等电位网及一次接地网连接的铜缆截面不足100mm2。</w:t>
            </w:r>
          </w:p>
        </w:tc>
      </w:tr>
      <w:tr>
        <w:tc>
          <w:tcPr>
            <w:tcW w:type="dxa" w:w="3312"/>
            <w:vAlign w:val="center"/>
          </w:tcPr>
          <w:p>
            <w:pPr>
              <w:jc w:val="left"/>
            </w:pPr>
            <w:r/>
            <w:r>
              <w:rPr>
                <w:rFonts w:ascii="仿宋_GB2312" w:hAnsi="仿宋_GB2312" w:eastAsia="仿宋_GB2312"/>
                <w:b/>
                <w:sz w:val="22"/>
              </w:rPr>
              <w:t>*问题原因分析</w:t>
            </w:r>
          </w:p>
        </w:tc>
        <w:tc>
          <w:tcPr>
            <w:tcW w:type="dxa" w:w="6624"/>
            <w:gridSpan w:val="2"/>
            <w:vAlign w:val="center"/>
          </w:tcPr>
          <w:p>
            <w:pPr>
              <w:jc w:val="left"/>
            </w:pPr>
            <w:r/>
            <w:r>
              <w:rPr>
                <w:rFonts w:ascii="仿宋_GB2312" w:hAnsi="仿宋_GB2312" w:eastAsia="仿宋_GB2312"/>
                <w:b w:val="0"/>
                <w:sz w:val="22"/>
              </w:rPr>
              <w:t>可能导致该问题的潜在原因包括：1. 设备安装阶段未严格按照设计图纸和规范进行施工；2. 材料采购阶段选用的铜缆规格不符合要求；3. 工程设计阶段对二次等电位地网的设计不合理；4. 运维检修阶段未能及时发现并纠正存在的问题。</w:t>
            </w:r>
          </w:p>
        </w:tc>
      </w:tr>
      <w:tr>
        <w:tc>
          <w:tcPr>
            <w:tcW w:type="dxa" w:w="3312"/>
            <w:vAlign w:val="center"/>
          </w:tcPr>
          <w:p>
            <w:pPr>
              <w:jc w:val="left"/>
            </w:pPr>
            <w:r/>
            <w:r>
              <w:rPr>
                <w:rFonts w:ascii="仿宋_GB2312" w:hAnsi="仿宋_GB2312" w:eastAsia="仿宋_GB2312"/>
                <w:b/>
                <w:sz w:val="22"/>
              </w:rPr>
              <w:t>*监督意见</w:t>
            </w:r>
          </w:p>
        </w:tc>
        <w:tc>
          <w:tcPr>
            <w:tcW w:type="dxa" w:w="6624"/>
            <w:gridSpan w:val="2"/>
            <w:vAlign w:val="center"/>
          </w:tcPr>
          <w:p>
            <w:pPr>
              <w:jc w:val="left"/>
            </w:pPr>
            <w:r/>
            <w:r>
              <w:rPr>
                <w:rFonts w:ascii="仿宋_GB2312" w:hAnsi="仿宋_GB2312" w:eastAsia="仿宋_GB2312"/>
                <w:b w:val="0"/>
                <w:sz w:val="22"/>
              </w:rPr>
              <w:t>1. 立即对主控室、主变本体汇控柜及110千伏各间隔汇控柜的二次等电位地网进行整改，确保使用符合标准的铜缆进行连接；2. 加强对施工过程的监督，确保所有连接均按照规范进行；3. 对相关施工人员进行培训，提高其对规范的理解和执行能力；4. 定期进行接地系统的检查和维护，确保其始终处于良好状态。</w:t>
            </w:r>
          </w:p>
        </w:tc>
      </w:tr>
      <w:tr>
        <w:tc>
          <w:tcPr>
            <w:tcW w:type="dxa" w:w="3312"/>
            <w:vAlign w:val="center"/>
          </w:tcPr>
          <w:p>
            <w:pPr>
              <w:jc w:val="left"/>
            </w:pPr>
            <w:r/>
            <w:r>
              <w:rPr>
                <w:rFonts w:ascii="仿宋_GB2312" w:hAnsi="仿宋_GB2312" w:eastAsia="仿宋_GB2312"/>
                <w:b/>
                <w:sz w:val="22"/>
              </w:rPr>
              <w:t>*实际整改措施</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其他要说明的问题</w:t>
            </w:r>
          </w:p>
        </w:tc>
        <w:tc>
          <w:tcPr>
            <w:tcW w:type="dxa" w:w="6624"/>
            <w:gridSpan w:val="2"/>
            <w:vAlign w:val="center"/>
          </w:tcPr>
          <w:p>
            <w:pPr>
              <w:jc w:val="left"/>
            </w:pPr>
            <w:r/>
            <w:r>
              <w:rPr>
                <w:rFonts w:ascii="仿宋_GB2312" w:hAnsi="仿宋_GB2312" w:eastAsia="仿宋_GB2312"/>
                <w:b w:val="0"/>
                <w:sz w:val="22"/>
              </w:rPr>
              <w:t>无</w:t>
            </w:r>
          </w:p>
        </w:tc>
      </w:tr>
      <w:tr>
        <w:tc>
          <w:tcPr>
            <w:tcW w:type="dxa" w:w="3312"/>
            <w:vAlign w:val="center"/>
          </w:tcPr>
          <w:p>
            <w:pPr>
              <w:jc w:val="left"/>
            </w:pPr>
            <w:r/>
            <w:r>
              <w:rPr>
                <w:rFonts w:ascii="仿宋_GB2312" w:hAnsi="仿宋_GB2312" w:eastAsia="仿宋_GB2312"/>
                <w:b/>
                <w:sz w:val="22"/>
              </w:rPr>
              <w:t>*问题照片</w:t>
            </w:r>
          </w:p>
        </w:tc>
        <w:tc>
          <w:tcPr>
            <w:tcW w:type="dxa" w:w="6624"/>
            <w:gridSpan w:val="2"/>
            <w:vAlign w:val="center"/>
          </w:tcPr>
          <w:p>
            <w:pPr>
              <w:jc w:val="center"/>
            </w:pPr>
            <w:r/>
            <w:r>
              <w:rPr>
                <w:rFonts w:ascii="仿宋_GB2312" w:hAnsi="仿宋_GB2312" w:eastAsia="仿宋_GB2312"/>
                <w:b w:val="0"/>
                <w:sz w:val="22"/>
              </w:rPr>
              <w:t>无照片</w:t>
            </w:r>
          </w:p>
        </w:tc>
      </w:tr>
      <w:tr>
        <w:tc>
          <w:tcPr>
            <w:tcW w:type="dxa" w:w="3312"/>
            <w:vAlign w:val="center"/>
          </w:tcPr>
          <w:p>
            <w:pPr>
              <w:jc w:val="left"/>
            </w:pPr>
            <w:r/>
            <w:r>
              <w:rPr>
                <w:rFonts w:ascii="仿宋_GB2312" w:hAnsi="仿宋_GB2312" w:eastAsia="仿宋_GB2312"/>
                <w:b/>
                <w:sz w:val="22"/>
              </w:rPr>
              <w:t>案例附件</w:t>
            </w:r>
          </w:p>
        </w:tc>
        <w:tc>
          <w:tcPr>
            <w:tcW w:type="dxa" w:w="6624"/>
            <w:gridSpan w:val="2"/>
            <w:vAlign w:val="center"/>
          </w:tcPr>
          <w:p>
            <w:pPr>
              <w:jc w:val="left"/>
            </w:pPr>
            <w:r/>
            <w:r>
              <w:rPr>
                <w:rFonts w:ascii="仿宋_GB2312" w:hAnsi="仿宋_GB2312" w:eastAsia="仿宋_GB2312"/>
                <w:b w:val="0"/>
                <w:sz w:val="22"/>
              </w:rPr>
              <w:t>无</w:t>
            </w: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bl>
    <w:p/>
    <w:p/>
    <w:p/>
    <w:p/>
    <w:p/>
    <w:p/>
    <w:p/>
    <w:p/>
    <w:p/>
    <w:p/>
    <w:p/>
    <w:p/>
    <w:p/>
    <w:p/>
    <w:p/>
    <w:p/>
    <w:p/>
    <w:p/>
    <w:p/>
    <w:p/>
    <w:p/>
    <w:p/>
    <w:p/>
    <w:p/>
    <w:p/>
    <w:p/>
    <w:p/>
    <w:p/>
    <w:p/>
    <w:p/>
    <w:p/>
    <w:p/>
    <w:p/>
    <w:p/>
    <w:p/>
    <w:p/>
    <w:p/>
    <w:p/>
    <w:p/>
    <w:p/>
    <w:p/>
    <w:p/>
    <w:p/>
    <w:p/>
    <w:p/>
    <w:p/>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