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None</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设备安装阶段未严格按照设计图纸和规范进行施工；2. 材料采购阶段选用的铜缆规格不符合要求；3. 工程设计阶段对二次等电位地网的设计不够严谨；4. 运维检修阶段未能及时发现并纠正存在的问题。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立即对二次等电位地网进行整改，确保主控室二次等电位使用4根不小于50mm2的铜缆与变电站主地网一点连接；2. 检查并更换主变本体汇控柜及110千伏各间隔汇控柜二次等电位铜排至电缆沟内二次等电位网及一次接地网连接的铜缆，确保其截面不小于100mm2；3. 加强对施工过程的监督，确保所有连接符合规范要求；4. 定期进行接地系统的检查和维护，确保其长期有效。</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