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None</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2.1.5</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接有二次电缆的开关场就地端子箱内（汇控柜、智能控制柜）应设有铜排（不要求与端子箱外壳绝缘），二次电缆屏蔽层、保护装置及辅助装置接地端子、屏柜本体通过铜排接地。铜排截面积应不小于100mm2，一般设置在端子箱下部，通过截面积不小于100mm2的铜缆与电缆沟内不小于的100mm2的专用铜排（缆）及变电站主地网相连。</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设备安装阶段未严格按照设计图纸和规范进行施工；2. 材料采购阶段选用的铜缆规格不符合要求；3. 工程设计阶段对等电位地网的设计存在疏漏；4. 运维检修阶段未能及时发现并纠正这些问题。</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立即检查并更换不符合规格的铜缆，确保其截面满足标准要求；2. 严格按照规范要求进行二次等电位地网的连接，确保主控室、主变本体汇控柜及各间隔汇控柜的等电位连接正确；3. 加强对施工过程的监督，确保所有连接符合设计要求；4. 定期进行接地系统的检测和维护，确保其有效性和可靠性。</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