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设备安装阶段未严格按照设计图纸和相关标准进行施工；2. 材料采购阶段选用的铜缆规格不符合要求；3. 工程设计阶段对二次等电位地网的设计考虑不周全；4. 运维检修阶段对地网连接的检查和维护不到位。</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立即对主控室、主变本体汇控柜及110千伏各间隔汇控柜的二次等电位地网连接进行整改，确保使用符合标准的铜缆（如4根不小于50mm²的铜缆和截面不少于100mm²的铜缆）进行连接；2. 加强对施工过程的监督，确保所有连接均按照设计要求和标准进行；3. 定期对二次等电位地网进行检查和维护，确保其长期有效。</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