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竣工验收阶段</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接地网全过程技术监督精益化管理实施细则.xls</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7.1.7</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变电站控制室及保护小室应独立敷设与主接地网紧密连接的二次等电位接地网。</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主控室、主变本体汇控柜及110千伏各间隔汇控柜二次等电位地网不规范，主控室二次等电位未使用4根不小于50mm2的铜缆与变电站主地网一点连接、主变本体汇控柜及110千伏各间隔汇控柜二次等电位铜排至电缆沟内二次等电位网及一次接地网连接的铜缆截面不足100mm2。</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可能的原因包括：1. 设备安装阶段未严格按照设计图纸和相关标准进行施工；2. 材料采购阶段选用的铜缆规格不符合要求；3. 工程设计阶段对二次等电位地网的设计考虑不周全；4. 运维检修阶段未能及时发现并纠正存在的问题。</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1. 立即对主控室、主变本体汇控柜及110千伏各间隔汇控柜的二次等电位地网进行整改，确保使用符合标准的铜缆进行连接；2. 加强对施工过程的监督，确保所有连接均按照设计要求和标准进行；3. 定期对二次等电位地网进行检查和维护，确保其长期有效。</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