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
        <w:rPr>
          <w:rFonts w:ascii="黑体" w:hAnsi="黑体" w:eastAsia="黑体"/>
          <w:b/>
          <w:sz w:val="28"/>
        </w:rPr>
        <w:t>技术监督典型案例收集模板</w:t>
      </w:r>
    </w:p>
    <w:p/>
    <w:tbl>
      <w:tblPr>
        <w:tblStyle w:val="TableGrid"/>
        <w:tblW w:type="auto" w:w="0"/>
        <w:tblLook w:firstColumn="1" w:firstRow="1" w:lastColumn="0" w:lastRow="0" w:noHBand="0" w:noVBand="1" w:val="04A0"/>
      </w:tblPr>
      <w:tblGrid>
        <w:gridCol w:w="2160"/>
        <w:gridCol w:w="2592"/>
        <w:gridCol w:w="5760"/>
      </w:tblGrid>
      <w:tr>
        <w:tc>
          <w:tcPr>
            <w:tcW w:type="dxa" w:w="3312"/>
            <w:vAlign w:val="center"/>
          </w:tcPr>
          <w:p>
            <w:pPr>
              <w:jc w:val="left"/>
            </w:pPr>
            <w:r/>
            <w:r>
              <w:rPr>
                <w:rFonts w:ascii="仿宋_GB2312" w:hAnsi="仿宋_GB2312" w:eastAsia="仿宋_GB2312"/>
                <w:b/>
                <w:sz w:val="22"/>
              </w:rPr>
              <w:t>*单位名称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*案例名称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工程信息</w:t>
            </w:r>
          </w:p>
        </w:tc>
        <w:tc>
          <w:tcPr>
            <w:tcW w:type="dxa" w:w="3312"/>
            <w:vAlign w:val="center"/>
          </w:tcPr>
          <w:p>
            <w:pPr>
              <w:jc w:val="left"/>
            </w:pPr>
            <w:r/>
            <w:r>
              <w:rPr>
                <w:rFonts w:ascii="仿宋_GB2312" w:hAnsi="仿宋_GB2312" w:eastAsia="仿宋_GB2312"/>
                <w:b w:val="0"/>
                <w:sz w:val="22"/>
              </w:rPr>
              <w:t>*工程名称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*站线名称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设备信息</w:t>
            </w:r>
          </w:p>
        </w:tc>
        <w:tc>
          <w:tcPr>
            <w:tcW w:type="dxa" w:w="3312"/>
            <w:vAlign w:val="center"/>
          </w:tcPr>
          <w:p>
            <w:pPr>
              <w:jc w:val="left"/>
            </w:pPr>
            <w:r/>
            <w:r>
              <w:rPr>
                <w:rFonts w:ascii="仿宋_GB2312" w:hAnsi="仿宋_GB2312" w:eastAsia="仿宋_GB2312"/>
                <w:b w:val="0"/>
                <w:sz w:val="22"/>
              </w:rPr>
              <w:t>*设备类型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*设备电压等级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*生产厂家全称（或责任单位）</w:t>
            </w:r>
          </w:p>
        </w:tc>
        <w:tc>
          <w:tcPr>
            <w:tcW w:type="dxa" w:w="331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*监督专业</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*监督阶段</w:t>
            </w:r>
          </w:p>
        </w:tc>
        <w:tc>
          <w:tcPr>
            <w:tcW w:type="dxa" w:w="6624"/>
            <w:gridSpan w:val="2"/>
            <w:vAlign w:val="center"/>
          </w:tcPr>
          <w:p>
            <w:pPr>
              <w:jc w:val="left"/>
            </w:pPr>
            <w:r/>
            <w:r>
              <w:rPr>
                <w:rFonts w:ascii="仿宋_GB2312" w:hAnsi="仿宋_GB2312" w:eastAsia="仿宋_GB2312"/>
                <w:b w:val="0"/>
                <w:sz w:val="22"/>
              </w:rPr>
              <w:t>工程设计阶段</w:t>
            </w:r>
          </w:p>
        </w:tc>
      </w:tr>
      <w:tr>
        <w:tc>
          <w:tcPr>
            <w:tcW w:type="dxa" w:w="3312"/>
            <w:vMerge w:val="restart"/>
            <w:vAlign w:val="center"/>
          </w:tcPr>
          <w:p>
            <w:pPr>
              <w:jc w:val="center"/>
            </w:pPr>
            <w:r/>
            <w:r>
              <w:rPr>
                <w:rFonts w:ascii="仿宋_GB2312" w:hAnsi="仿宋_GB2312" w:eastAsia="仿宋_GB2312"/>
                <w:b/>
                <w:sz w:val="22"/>
              </w:rPr>
              <w:t>依据细则（标准）</w:t>
            </w:r>
          </w:p>
        </w:tc>
        <w:tc>
          <w:tcPr>
            <w:tcW w:type="dxa" w:w="3312"/>
            <w:vAlign w:val="center"/>
          </w:tcPr>
          <w:p>
            <w:pPr>
              <w:jc w:val="left"/>
            </w:pPr>
            <w:r/>
            <w:r>
              <w:rPr>
                <w:rFonts w:ascii="仿宋_GB2312" w:hAnsi="仿宋_GB2312" w:eastAsia="仿宋_GB2312"/>
                <w:b w:val="0"/>
                <w:sz w:val="22"/>
              </w:rPr>
              <w:t>*细则（标准）名称</w:t>
            </w:r>
          </w:p>
        </w:tc>
        <w:tc>
          <w:tcPr>
            <w:tcW w:type="dxa" w:w="3312"/>
            <w:vAlign w:val="center"/>
          </w:tcPr>
          <w:p>
            <w:pPr>
              <w:jc w:val="left"/>
            </w:pPr>
            <w:r/>
            <w:r>
              <w:rPr>
                <w:rFonts w:ascii="仿宋_GB2312" w:hAnsi="仿宋_GB2312" w:eastAsia="仿宋_GB2312"/>
                <w:b w:val="0"/>
                <w:sz w:val="22"/>
              </w:rPr>
              <w:t>继电保护全过程技术监督精益化管理实施细则.xls</w:t>
            </w:r>
          </w:p>
        </w:tc>
      </w:tr>
      <w:tr>
        <w:tc>
          <w:tcPr>
            <w:tcW w:type="dxa" w:w="3312"/>
            <w:vMerge/>
          </w:tcPr>
          <w:p/>
        </w:tc>
        <w:tc>
          <w:tcPr>
            <w:tcW w:type="dxa" w:w="3312"/>
            <w:vAlign w:val="center"/>
          </w:tcPr>
          <w:p>
            <w:pPr>
              <w:jc w:val="left"/>
            </w:pPr>
            <w:r/>
            <w:r>
              <w:rPr>
                <w:rFonts w:ascii="仿宋_GB2312" w:hAnsi="仿宋_GB2312" w:eastAsia="仿宋_GB2312"/>
                <w:b w:val="0"/>
                <w:sz w:val="22"/>
              </w:rPr>
              <w:t>*条款序号</w:t>
            </w:r>
          </w:p>
        </w:tc>
        <w:tc>
          <w:tcPr>
            <w:tcW w:type="dxa" w:w="3312"/>
            <w:vAlign w:val="center"/>
          </w:tcPr>
          <w:p>
            <w:pPr>
              <w:jc w:val="left"/>
            </w:pPr>
            <w:r/>
            <w:r>
              <w:rPr>
                <w:rFonts w:ascii="仿宋_GB2312" w:hAnsi="仿宋_GB2312" w:eastAsia="仿宋_GB2312"/>
                <w:b w:val="0"/>
                <w:sz w:val="22"/>
              </w:rPr>
              <w:t>2.1.5</w:t>
            </w:r>
          </w:p>
        </w:tc>
      </w:tr>
      <w:tr>
        <w:tc>
          <w:tcPr>
            <w:tcW w:type="dxa" w:w="3312"/>
            <w:vMerge/>
          </w:tcPr>
          <w:p/>
        </w:tc>
        <w:tc>
          <w:tcPr>
            <w:tcW w:type="dxa" w:w="3312"/>
            <w:vAlign w:val="center"/>
          </w:tcPr>
          <w:p>
            <w:pPr>
              <w:jc w:val="left"/>
            </w:pPr>
            <w:r/>
            <w:r>
              <w:rPr>
                <w:rFonts w:ascii="仿宋_GB2312" w:hAnsi="仿宋_GB2312" w:eastAsia="仿宋_GB2312"/>
                <w:b w:val="0"/>
                <w:sz w:val="22"/>
              </w:rPr>
              <w:t>*监督标准</w:t>
            </w:r>
          </w:p>
        </w:tc>
        <w:tc>
          <w:tcPr>
            <w:tcW w:type="dxa" w:w="3312"/>
            <w:vAlign w:val="center"/>
          </w:tcPr>
          <w:p>
            <w:pPr>
              <w:jc w:val="left"/>
            </w:pPr>
            <w:r/>
            <w:r>
              <w:rPr>
                <w:rFonts w:ascii="仿宋_GB2312" w:hAnsi="仿宋_GB2312" w:eastAsia="仿宋_GB2312"/>
                <w:b w:val="0"/>
                <w:sz w:val="22"/>
              </w:rPr>
              <w:t>1.接有二次电缆的开关场就地端子箱内（汇控柜、智能控制柜）应设有铜排（不要求与端子箱外壳绝缘），二次电缆屏蔽层、保护装置及辅助装置接地端子、屏柜本体通过铜排接地。铜排截面积应不小于100mm2，一般设置在端子箱下部，通过截面积不小于100mm2的铜缆与电缆沟内不小于的100mm2的专用铜排（缆）及变电站主地网相连。</w:t>
            </w:r>
          </w:p>
        </w:tc>
      </w:tr>
      <w:tr>
        <w:tc>
          <w:tcPr>
            <w:tcW w:type="dxa" w:w="3312"/>
            <w:vAlign w:val="center"/>
          </w:tcPr>
          <w:p>
            <w:pPr>
              <w:jc w:val="left"/>
            </w:pPr>
            <w:r/>
            <w:r>
              <w:rPr>
                <w:rFonts w:ascii="仿宋_GB2312" w:hAnsi="仿宋_GB2312" w:eastAsia="仿宋_GB2312"/>
                <w:b/>
                <w:sz w:val="22"/>
              </w:rPr>
              <w:t>*发现时间</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*问题描述</w:t>
            </w:r>
          </w:p>
        </w:tc>
        <w:tc>
          <w:tcPr>
            <w:tcW w:type="dxa" w:w="6624"/>
            <w:gridSpan w:val="2"/>
            <w:vAlign w:val="center"/>
          </w:tcPr>
          <w:p>
            <w:pPr>
              <w:jc w:val="left"/>
            </w:pPr>
            <w:r/>
            <w:r>
              <w:rPr>
                <w:rFonts w:ascii="仿宋_GB2312" w:hAnsi="仿宋_GB2312" w:eastAsia="仿宋_GB2312"/>
                <w:b w:val="0"/>
                <w:sz w:val="22"/>
              </w:rPr>
              <w:t>主控室、主变本体汇控柜及110千伏各间隔汇控柜二次等电位地网不规范，主控室二次等电位未使用4根不小于50mm2的铜缆与变电站主地网一点连接、主变本体汇控柜及110千伏各间隔汇控柜二次等电位铜排至电缆沟内二次等电位网及一次接地网连接的铜缆截面不足100mm2。</w:t>
            </w:r>
          </w:p>
        </w:tc>
      </w:tr>
      <w:tr>
        <w:tc>
          <w:tcPr>
            <w:tcW w:type="dxa" w:w="3312"/>
            <w:vAlign w:val="center"/>
          </w:tcPr>
          <w:p>
            <w:pPr>
              <w:jc w:val="left"/>
            </w:pPr>
            <w:r/>
            <w:r>
              <w:rPr>
                <w:rFonts w:ascii="仿宋_GB2312" w:hAnsi="仿宋_GB2312" w:eastAsia="仿宋_GB2312"/>
                <w:b/>
                <w:sz w:val="22"/>
              </w:rPr>
              <w:t>*问题原因分析</w:t>
            </w:r>
          </w:p>
        </w:tc>
        <w:tc>
          <w:tcPr>
            <w:tcW w:type="dxa" w:w="6624"/>
            <w:gridSpan w:val="2"/>
            <w:vAlign w:val="center"/>
          </w:tcPr>
          <w:p>
            <w:pPr>
              <w:jc w:val="left"/>
            </w:pPr>
            <w:r/>
            <w:r>
              <w:rPr>
                <w:rFonts w:ascii="仿宋_GB2312" w:hAnsi="仿宋_GB2312" w:eastAsia="仿宋_GB2312"/>
                <w:b w:val="0"/>
                <w:sz w:val="22"/>
              </w:rPr>
              <w:t>可能的原因包括：1. 设备安装阶段未严格按照设计图纸和相关标准进行施工；2. 材料采购阶段选用的铜缆规格不符合要求；3. 工程设计阶段对二次等电位地网的设计考虑不周全；4. 运维检修阶段对地网连接的检查和维护不到位。</w:t>
            </w:r>
          </w:p>
        </w:tc>
      </w:tr>
      <w:tr>
        <w:tc>
          <w:tcPr>
            <w:tcW w:type="dxa" w:w="3312"/>
            <w:vAlign w:val="center"/>
          </w:tcPr>
          <w:p>
            <w:pPr>
              <w:jc w:val="left"/>
            </w:pPr>
            <w:r/>
            <w:r>
              <w:rPr>
                <w:rFonts w:ascii="仿宋_GB2312" w:hAnsi="仿宋_GB2312" w:eastAsia="仿宋_GB2312"/>
                <w:b/>
                <w:sz w:val="22"/>
              </w:rPr>
              <w:t>*监督意见</w:t>
            </w:r>
          </w:p>
        </w:tc>
        <w:tc>
          <w:tcPr>
            <w:tcW w:type="dxa" w:w="6624"/>
            <w:gridSpan w:val="2"/>
            <w:vAlign w:val="center"/>
          </w:tcPr>
          <w:p>
            <w:pPr>
              <w:jc w:val="left"/>
            </w:pPr>
            <w:r/>
            <w:r>
              <w:rPr>
                <w:rFonts w:ascii="仿宋_GB2312" w:hAnsi="仿宋_GB2312" w:eastAsia="仿宋_GB2312"/>
                <w:b w:val="0"/>
                <w:sz w:val="22"/>
              </w:rPr>
              <w:t>1. 立即对主控室、主变本体汇控柜及110千伏各间隔汇控柜的二次等电位地网进行整改，确保使用符合标准的铜缆进行连接；2. 加强对施工过程的监督，确保所有连接均按照设计要求和标准进行；3. 定期对二次等电位地网进行检查和维护，确保其长期有效。</w:t>
            </w:r>
          </w:p>
        </w:tc>
      </w:tr>
      <w:tr>
        <w:tc>
          <w:tcPr>
            <w:tcW w:type="dxa" w:w="3312"/>
            <w:vAlign w:val="center"/>
          </w:tcPr>
          <w:p>
            <w:pPr>
              <w:jc w:val="left"/>
            </w:pPr>
            <w:r/>
            <w:r>
              <w:rPr>
                <w:rFonts w:ascii="仿宋_GB2312" w:hAnsi="仿宋_GB2312" w:eastAsia="仿宋_GB2312"/>
                <w:b/>
                <w:sz w:val="22"/>
              </w:rPr>
              <w:t>*实际整改措施</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其他要说明的问题</w:t>
            </w:r>
          </w:p>
        </w:tc>
        <w:tc>
          <w:tcPr>
            <w:tcW w:type="dxa" w:w="6624"/>
            <w:gridSpan w:val="2"/>
            <w:vAlign w:val="center"/>
          </w:tcPr>
          <w:p>
            <w:pPr>
              <w:jc w:val="left"/>
            </w:pPr>
            <w:r/>
            <w:r>
              <w:rPr>
                <w:rFonts w:ascii="仿宋_GB2312" w:hAnsi="仿宋_GB2312" w:eastAsia="仿宋_GB2312"/>
                <w:b w:val="0"/>
                <w:sz w:val="22"/>
              </w:rPr>
              <w:t>无</w:t>
            </w:r>
          </w:p>
        </w:tc>
      </w:tr>
      <w:tr>
        <w:tc>
          <w:tcPr>
            <w:tcW w:type="dxa" w:w="3312"/>
            <w:vAlign w:val="center"/>
          </w:tcPr>
          <w:p>
            <w:pPr>
              <w:jc w:val="left"/>
            </w:pPr>
            <w:r/>
            <w:r>
              <w:rPr>
                <w:rFonts w:ascii="仿宋_GB2312" w:hAnsi="仿宋_GB2312" w:eastAsia="仿宋_GB2312"/>
                <w:b/>
                <w:sz w:val="22"/>
              </w:rPr>
              <w:t>*问题照片</w:t>
            </w:r>
          </w:p>
        </w:tc>
        <w:tc>
          <w:tcPr>
            <w:tcW w:type="dxa" w:w="6624"/>
            <w:gridSpan w:val="2"/>
            <w:vAlign w:val="center"/>
          </w:tcPr>
          <w:p>
            <w:pPr>
              <w:jc w:val="center"/>
            </w:pPr>
            <w:r/>
            <w:r>
              <w:rPr>
                <w:rFonts w:ascii="仿宋_GB2312" w:hAnsi="仿宋_GB2312" w:eastAsia="仿宋_GB2312"/>
                <w:b w:val="0"/>
                <w:sz w:val="22"/>
              </w:rPr>
              <w:t>无照片</w:t>
            </w:r>
          </w:p>
        </w:tc>
      </w:tr>
      <w:tr>
        <w:tc>
          <w:tcPr>
            <w:tcW w:type="dxa" w:w="3312"/>
            <w:vAlign w:val="center"/>
          </w:tcPr>
          <w:p>
            <w:pPr>
              <w:jc w:val="left"/>
            </w:pPr>
            <w:r/>
            <w:r>
              <w:rPr>
                <w:rFonts w:ascii="仿宋_GB2312" w:hAnsi="仿宋_GB2312" w:eastAsia="仿宋_GB2312"/>
                <w:b/>
                <w:sz w:val="22"/>
              </w:rPr>
              <w:t>案例附件</w:t>
            </w:r>
          </w:p>
        </w:tc>
        <w:tc>
          <w:tcPr>
            <w:tcW w:type="dxa" w:w="6624"/>
            <w:gridSpan w:val="2"/>
            <w:vAlign w:val="center"/>
          </w:tcPr>
          <w:p>
            <w:pPr>
              <w:jc w:val="left"/>
            </w:pPr>
            <w:r/>
            <w:r>
              <w:rPr>
                <w:rFonts w:ascii="仿宋_GB2312" w:hAnsi="仿宋_GB2312" w:eastAsia="仿宋_GB2312"/>
                <w:b w:val="0"/>
                <w:sz w:val="22"/>
              </w:rPr>
              <w:t>无</w:t>
            </w: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bl>
    <w:p/>
    <w:p/>
    <w:p/>
    <w:p/>
    <w:p/>
    <w:p/>
    <w:p/>
    <w:p/>
    <w:p/>
    <w:p/>
    <w:p/>
    <w:p/>
    <w:p/>
    <w:p/>
    <w:p/>
    <w:p/>
    <w:p/>
    <w:p/>
    <w:p/>
    <w:p/>
    <w:p/>
    <w:p/>
    <w:p/>
    <w:p/>
    <w:p/>
    <w:p/>
    <w:p/>
    <w:p/>
    <w:p/>
    <w:p/>
    <w:p/>
    <w:p/>
    <w:p/>
    <w:p/>
    <w:p/>
    <w:p/>
    <w:p/>
    <w:p/>
    <w:p/>
    <w:p/>
    <w:p/>
    <w:p/>
    <w:p/>
    <w:p/>
    <w:p/>
    <w:p/>
    <w:p/>
    <w:sectPr w:rsidR="00FC693F" w:rsidRPr="0006063C" w:rsidSect="00034616">
      <w:pgSz w:w="12240" w:h="15840"/>
      <w:pgMar w:top="720" w:right="1152" w:bottom="72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