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工程设计阶段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2.1.5</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接有二次电缆的开关场就地端子箱内（汇控柜、智能控制柜）应设有铜排（不要求与端子箱外壳绝缘），二次电缆屏蔽层、保护装置及辅助装置接地端子、屏柜本体通过铜排接地。铜排截面积应不小于100mm2，一般设置在端子箱下部，通过截面积不小于100mm2的铜缆与电缆沟内不小于的100mm2的专用铜排（缆）及变电站主地网相连。</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可能导致该问题的原因包括：1. 设备安装阶段未严格按照设计图纸和相关标准进行施工；2. 材料采购阶段选用的铜缆规格不符合要求；3. 工程设计阶段对二次等电位地网的设计不合理；4. 运维检修阶段未能及时发现并纠正存在的问题。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立即对主控室、主变本体汇控柜及110千伏各间隔汇控柜的二次等电位地网进行整改，确保使用符合标准的铜缆进行连接；2. 加强对施工过程的监督，确保所有连接均按照设计要求和标准进行；3. 对相关施工人员进行培训，提高其对二次等电位地网重要性的认识；4. 定期进行接地系统的检测，确保其性能满足要求。</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