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工程设计阶段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设备安装阶段未严格按照设计图纸和规范施工；2. 材料采购阶段选用的铜缆规格不符合要求；3. 工程设计阶段对接地系统的设计考虑不周全；4.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加强对接地系统的定期检查和维护，确保其长期有效；3. 在今后的工程中，严格监督施工过程，确保按照设计规范进行施工。</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