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可能的原因包括：1) 施工人员操作不当，未按照标准规范进行接线；2) 设计图纸与实际施工不符，导致接线混乱；3) 监督检查不到位，未能及时发现并纠正接线问题。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建议立即对电流二次回路进行全面检查，重新规范接线，确保每个端子仅压接一根线芯。同时，加强施工人员的培训和现场监督，避免类似问题再次发生。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