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施工人员操作不当，未按照标准规范进行接线；2) 设计图纸与实际施工不符，导致接线混乱；3) 监督检查不到位，未能及时发现并纠正接线问题。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建议立即对相关电流二次回路进行全面检查，重新规范接线，确保每个端子仅压接一根线芯。同时，加强施工人员的培训和现场监督，避免类似问题再次发生。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