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设计图纸与实际施工不符，导致接线混乱；3) 现场管理不到位，缺乏有效的监督和检查。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建议立即对相关电流二次回路进行全面检查，纠正不规范的接线方式，确保每个端子只压接一根线芯。同时，加强现场施工管理和监督，严格按照规范操作，避免类似问题再次发生。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