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设备安装阶段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6.2.7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施工人员操作不当，未按照规范进行接线；2. 设备安装阶段监管不到位，未能及时发现并纠正接线问题；3. 设计图纸与实际施工不符，导致接线复杂度增加，容易出现错误。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建议立即对电流二次回路进行全面检查，规范接线方式，确保每个端子仅压接一根线芯。同时，加强施工人员的培训，提高其操作规范性，并在后续安装过程中加强监督，避免类似问题再次发生。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