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施工人员操作不当，未按照规范进行接线；2. 设计图纸与实际施工不符，导致接线混乱；3. 监督检查不到位，未能及时发现并纠正接线问题。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建议立即对电流二次回路进行全面检查，规范接线方式，确保每个端子仅压接一根线芯。同时，加强施工人员的培训和现场监督，避免类似问题再次发生。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