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设备安装阶段监管不到位，未能及时发现并纠正接线问题；3) 设计图纸与实际施工不符，导致接线复杂度增加，容易出现错误。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建议立即对相关电流二次回路进行全面检查，重新规范接线，确保每个端子仅压接一根线芯。同时，加强施工人员的培训，提高其规范操作意识，并在后续安装过程中加强监督，避免类似问题再次发生。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