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6.2.7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可能的原因包括：1) 施工人员操作不当，未按照标准规范进行接线；2) 设备安装阶段监管不到位，缺乏严格的质量控制；3) 设计图纸与实际施工不符，导致接线混乱。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建议立即对相关电流二次回路进行全面检查，纠正不规范的接线方式，确保每个端子仅压接一根线芯。同时，加强施工人员的培训和现场监管，严格按照规范操作，避免类似问题再次发生。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