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施工人员操作不当，未按照标准规范进行接线；2. 设备安装阶段监管不到位，未能及时发现并纠正接线问题；3. 设计图纸与实际施工不符，导致接线复杂度增加，容易出现错误。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建议立即对电流二次回路进行全面检查，规范接线方式，确保每个端子仅压接一根线芯。同时，加强施工人员的培训，提高其规范操作意识，并在后续安装过程中加强监督，避免类似问题再次发生。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