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Pr>
          <w:rFonts w:ascii="黑体" w:hAnsi="黑体" w:eastAsia="黑体"/>
          <w:b/>
          <w:sz w:val="28"/>
        </w:rPr>
        <w:t>技术监督典型案例收集模板</w:t>
      </w:r>
    </w:p>
    <w:p/>
    <w:tbl>
      <w:tblPr>
        <w:tblStyle w:val="TableGrid"/>
        <w:tblW w:type="auto" w:w="0"/>
        <w:tblLook w:firstColumn="1" w:firstRow="1" w:lastColumn="0" w:lastRow="0" w:noHBand="0" w:noVBand="1" w:val="04A0"/>
      </w:tblPr>
      <w:tblGrid>
        <w:gridCol w:w="2160"/>
        <w:gridCol w:w="2592"/>
        <w:gridCol w:w="5760"/>
      </w:tblGrid>
      <w:tr>
        <w:tc>
          <w:tcPr>
            <w:tcW w:type="dxa" w:w="3312"/>
            <w:vAlign w:val="center"/>
          </w:tcPr>
          <w:p>
            <w:pPr>
              <w:jc w:val="left"/>
            </w:pPr>
            <w:r/>
            <w:r>
              <w:rPr>
                <w:rFonts w:ascii="仿宋_GB2312" w:hAnsi="仿宋_GB2312" w:eastAsia="仿宋_GB2312"/>
                <w:b/>
                <w:sz w:val="22"/>
              </w:rPr>
              <w:t>*单位名称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*案例名称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工程信息</w:t>
            </w:r>
          </w:p>
        </w:tc>
        <w:tc>
          <w:tcPr>
            <w:tcW w:type="dxa" w:w="3312"/>
            <w:vAlign w:val="center"/>
          </w:tcPr>
          <w:p>
            <w:pPr>
              <w:jc w:val="left"/>
            </w:pPr>
            <w:r/>
            <w:r>
              <w:rPr>
                <w:rFonts w:ascii="仿宋_GB2312" w:hAnsi="仿宋_GB2312" w:eastAsia="仿宋_GB2312"/>
                <w:b w:val="0"/>
                <w:sz w:val="22"/>
              </w:rPr>
              <w:t>*工程名称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*站线名称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设备信息</w:t>
            </w:r>
          </w:p>
        </w:tc>
        <w:tc>
          <w:tcPr>
            <w:tcW w:type="dxa" w:w="3312"/>
            <w:vAlign w:val="center"/>
          </w:tcPr>
          <w:p>
            <w:pPr>
              <w:jc w:val="left"/>
            </w:pPr>
            <w:r/>
            <w:r>
              <w:rPr>
                <w:rFonts w:ascii="仿宋_GB2312" w:hAnsi="仿宋_GB2312" w:eastAsia="仿宋_GB2312"/>
                <w:b w:val="0"/>
                <w:sz w:val="22"/>
              </w:rPr>
              <w:t>*设备类型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*设备电压等级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*生产厂家全称（或责任单位）</w:t>
            </w:r>
          </w:p>
        </w:tc>
        <w:tc>
          <w:tcPr>
            <w:tcW w:type="dxa" w:w="331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*监督专业</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*监督阶段</w:t>
            </w:r>
          </w:p>
        </w:tc>
        <w:tc>
          <w:tcPr>
            <w:tcW w:type="dxa" w:w="6624"/>
            <w:gridSpan w:val="2"/>
            <w:vAlign w:val="center"/>
          </w:tcPr>
          <w:p>
            <w:pPr>
              <w:jc w:val="left"/>
            </w:pPr>
            <w:r/>
            <w:r>
              <w:rPr>
                <w:rFonts w:ascii="仿宋_GB2312" w:hAnsi="仿宋_GB2312" w:eastAsia="仿宋_GB2312"/>
                <w:b w:val="0"/>
                <w:sz w:val="22"/>
              </w:rPr>
              <w:t>设备安装阶段</w:t>
            </w:r>
          </w:p>
        </w:tc>
      </w:tr>
      <w:tr>
        <w:tc>
          <w:tcPr>
            <w:tcW w:type="dxa" w:w="3312"/>
            <w:vMerge w:val="restart"/>
            <w:vAlign w:val="center"/>
          </w:tcPr>
          <w:p>
            <w:pPr>
              <w:jc w:val="center"/>
            </w:pPr>
            <w:r/>
            <w:r>
              <w:rPr>
                <w:rFonts w:ascii="仿宋_GB2312" w:hAnsi="仿宋_GB2312" w:eastAsia="仿宋_GB2312"/>
                <w:b/>
                <w:sz w:val="22"/>
              </w:rPr>
              <w:t>依据细则（标准）</w:t>
            </w:r>
          </w:p>
        </w:tc>
        <w:tc>
          <w:tcPr>
            <w:tcW w:type="dxa" w:w="3312"/>
            <w:vAlign w:val="center"/>
          </w:tcPr>
          <w:p>
            <w:pPr>
              <w:jc w:val="left"/>
            </w:pPr>
            <w:r/>
            <w:r>
              <w:rPr>
                <w:rFonts w:ascii="仿宋_GB2312" w:hAnsi="仿宋_GB2312" w:eastAsia="仿宋_GB2312"/>
                <w:b w:val="0"/>
                <w:sz w:val="22"/>
              </w:rPr>
              <w:t>*细则（标准）名称</w:t>
            </w:r>
          </w:p>
        </w:tc>
        <w:tc>
          <w:tcPr>
            <w:tcW w:type="dxa" w:w="3312"/>
            <w:vAlign w:val="center"/>
          </w:tcPr>
          <w:p>
            <w:pPr>
              <w:jc w:val="left"/>
            </w:pPr>
            <w:r/>
            <w:r>
              <w:rPr>
                <w:rFonts w:ascii="仿宋_GB2312" w:hAnsi="仿宋_GB2312" w:eastAsia="仿宋_GB2312"/>
                <w:b w:val="0"/>
                <w:sz w:val="22"/>
              </w:rPr>
              <w:t>继电保护全过程技术监督精益化管理实施细则.xls</w:t>
            </w:r>
          </w:p>
        </w:tc>
      </w:tr>
      <w:tr>
        <w:tc>
          <w:tcPr>
            <w:tcW w:type="dxa" w:w="3312"/>
            <w:vMerge/>
          </w:tcPr>
          <w:p/>
        </w:tc>
        <w:tc>
          <w:tcPr>
            <w:tcW w:type="dxa" w:w="3312"/>
            <w:vAlign w:val="center"/>
          </w:tcPr>
          <w:p>
            <w:pPr>
              <w:jc w:val="left"/>
            </w:pPr>
            <w:r/>
            <w:r>
              <w:rPr>
                <w:rFonts w:ascii="仿宋_GB2312" w:hAnsi="仿宋_GB2312" w:eastAsia="仿宋_GB2312"/>
                <w:b w:val="0"/>
                <w:sz w:val="22"/>
              </w:rPr>
              <w:t>*条款序号</w:t>
            </w:r>
          </w:p>
        </w:tc>
        <w:tc>
          <w:tcPr>
            <w:tcW w:type="dxa" w:w="3312"/>
            <w:vAlign w:val="center"/>
          </w:tcPr>
          <w:p>
            <w:pPr>
              <w:jc w:val="left"/>
            </w:pPr>
            <w:r/>
            <w:r>
              <w:rPr>
                <w:rFonts w:ascii="仿宋_GB2312" w:hAnsi="仿宋_GB2312" w:eastAsia="仿宋_GB2312"/>
                <w:b w:val="0"/>
                <w:sz w:val="22"/>
              </w:rPr>
              <w:t>7.2.11</w:t>
            </w:r>
          </w:p>
        </w:tc>
      </w:tr>
      <w:tr>
        <w:tc>
          <w:tcPr>
            <w:tcW w:type="dxa" w:w="3312"/>
            <w:vMerge/>
          </w:tcPr>
          <w:p/>
        </w:tc>
        <w:tc>
          <w:tcPr>
            <w:tcW w:type="dxa" w:w="3312"/>
            <w:vAlign w:val="center"/>
          </w:tcPr>
          <w:p>
            <w:pPr>
              <w:jc w:val="left"/>
            </w:pPr>
            <w:r/>
            <w:r>
              <w:rPr>
                <w:rFonts w:ascii="仿宋_GB2312" w:hAnsi="仿宋_GB2312" w:eastAsia="仿宋_GB2312"/>
                <w:b w:val="0"/>
                <w:sz w:val="22"/>
              </w:rPr>
              <w:t>*监督标准</w:t>
            </w:r>
          </w:p>
        </w:tc>
        <w:tc>
          <w:tcPr>
            <w:tcW w:type="dxa" w:w="3312"/>
            <w:vAlign w:val="center"/>
          </w:tcPr>
          <w:p>
            <w:pPr>
              <w:jc w:val="left"/>
            </w:pPr>
            <w:r/>
            <w:r>
              <w:rPr>
                <w:rFonts w:ascii="仿宋_GB2312" w:hAnsi="仿宋_GB2312" w:eastAsia="仿宋_GB2312"/>
                <w:b w:val="0"/>
                <w:sz w:val="22"/>
              </w:rPr>
              <w:t>4.检查电流互感器二次绕组所有二次接线的正确性及端子排引线螺钉压接的可靠性。检查电流二次回路的接地点与接地状况，电流互感器的二次回路必须分别且只能有一点接地；由几组电流互感器二次组合的电流回路，应在有直接电气连接处一点接地。</w:t>
            </w:r>
          </w:p>
        </w:tc>
      </w:tr>
      <w:tr>
        <w:tc>
          <w:tcPr>
            <w:tcW w:type="dxa" w:w="3312"/>
            <w:vAlign w:val="center"/>
          </w:tcPr>
          <w:p>
            <w:pPr>
              <w:jc w:val="left"/>
            </w:pPr>
            <w:r/>
            <w:r>
              <w:rPr>
                <w:rFonts w:ascii="仿宋_GB2312" w:hAnsi="仿宋_GB2312" w:eastAsia="仿宋_GB2312"/>
                <w:b/>
                <w:sz w:val="22"/>
              </w:rPr>
              <w:t>*发现时间</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*问题描述</w:t>
            </w:r>
          </w:p>
        </w:tc>
        <w:tc>
          <w:tcPr>
            <w:tcW w:type="dxa" w:w="6624"/>
            <w:gridSpan w:val="2"/>
            <w:vAlign w:val="center"/>
          </w:tcPr>
          <w:p>
            <w:pPr>
              <w:jc w:val="left"/>
            </w:pPr>
            <w:r/>
            <w:r>
              <w:rPr>
                <w:rFonts w:ascii="仿宋_GB2312" w:hAnsi="仿宋_GB2312" w:eastAsia="仿宋_GB2312"/>
                <w:b w:val="0"/>
                <w:sz w:val="22"/>
              </w:rPr>
              <w:t>110千伏各间隔电流二次回路接线不规范，电流回路存在一个端子压接多根线芯。</w:t>
            </w:r>
          </w:p>
        </w:tc>
      </w:tr>
      <w:tr>
        <w:tc>
          <w:tcPr>
            <w:tcW w:type="dxa" w:w="3312"/>
            <w:vAlign w:val="center"/>
          </w:tcPr>
          <w:p>
            <w:pPr>
              <w:jc w:val="left"/>
            </w:pPr>
            <w:r/>
            <w:r>
              <w:rPr>
                <w:rFonts w:ascii="仿宋_GB2312" w:hAnsi="仿宋_GB2312" w:eastAsia="仿宋_GB2312"/>
                <w:b/>
                <w:sz w:val="22"/>
              </w:rPr>
              <w:t>*问题原因分析</w:t>
            </w:r>
          </w:p>
        </w:tc>
        <w:tc>
          <w:tcPr>
            <w:tcW w:type="dxa" w:w="6624"/>
            <w:gridSpan w:val="2"/>
            <w:vAlign w:val="center"/>
          </w:tcPr>
          <w:p>
            <w:pPr>
              <w:jc w:val="left"/>
            </w:pPr>
            <w:r/>
            <w:r>
              <w:rPr>
                <w:rFonts w:ascii="仿宋_GB2312" w:hAnsi="仿宋_GB2312" w:eastAsia="仿宋_GB2312"/>
                <w:b w:val="0"/>
                <w:sz w:val="22"/>
              </w:rPr>
              <w:t>可能的原因包括：1. 施工人员操作不当，未按照标准规范进行接线；2. 设备安装阶段监管不到位，未能及时发现并纠正接线问题；3. 设计图纸与实际施工不符，导致接线复杂度增加，容易出现错误。</w:t>
            </w:r>
          </w:p>
        </w:tc>
      </w:tr>
      <w:tr>
        <w:tc>
          <w:tcPr>
            <w:tcW w:type="dxa" w:w="3312"/>
            <w:vAlign w:val="center"/>
          </w:tcPr>
          <w:p>
            <w:pPr>
              <w:jc w:val="left"/>
            </w:pPr>
            <w:r/>
            <w:r>
              <w:rPr>
                <w:rFonts w:ascii="仿宋_GB2312" w:hAnsi="仿宋_GB2312" w:eastAsia="仿宋_GB2312"/>
                <w:b/>
                <w:sz w:val="22"/>
              </w:rPr>
              <w:t>*监督意见</w:t>
            </w:r>
          </w:p>
        </w:tc>
        <w:tc>
          <w:tcPr>
            <w:tcW w:type="dxa" w:w="6624"/>
            <w:gridSpan w:val="2"/>
            <w:vAlign w:val="center"/>
          </w:tcPr>
          <w:p>
            <w:pPr>
              <w:jc w:val="left"/>
            </w:pPr>
            <w:r/>
            <w:r>
              <w:rPr>
                <w:rFonts w:ascii="仿宋_GB2312" w:hAnsi="仿宋_GB2312" w:eastAsia="仿宋_GB2312"/>
                <w:b w:val="0"/>
                <w:sz w:val="22"/>
              </w:rPr>
              <w:t>建议立即对电流二次回路进行全面检查，规范接线方式，确保每个端子仅压接一根线芯。同时，加强施工人员的培训，提高其规范操作意识，并在后续安装过程中加强监督，避免类似问题再次发生。</w:t>
            </w:r>
          </w:p>
        </w:tc>
      </w:tr>
      <w:tr>
        <w:tc>
          <w:tcPr>
            <w:tcW w:type="dxa" w:w="3312"/>
            <w:vAlign w:val="center"/>
          </w:tcPr>
          <w:p>
            <w:pPr>
              <w:jc w:val="left"/>
            </w:pPr>
            <w:r/>
            <w:r>
              <w:rPr>
                <w:rFonts w:ascii="仿宋_GB2312" w:hAnsi="仿宋_GB2312" w:eastAsia="仿宋_GB2312"/>
                <w:b/>
                <w:sz w:val="22"/>
              </w:rPr>
              <w:t>*实际整改措施</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其他要说明的问题</w:t>
            </w:r>
          </w:p>
        </w:tc>
        <w:tc>
          <w:tcPr>
            <w:tcW w:type="dxa" w:w="6624"/>
            <w:gridSpan w:val="2"/>
            <w:vAlign w:val="center"/>
          </w:tcPr>
          <w:p>
            <w:pPr>
              <w:jc w:val="left"/>
            </w:pPr>
            <w:r/>
            <w:r>
              <w:rPr>
                <w:rFonts w:ascii="仿宋_GB2312" w:hAnsi="仿宋_GB2312" w:eastAsia="仿宋_GB2312"/>
                <w:b w:val="0"/>
                <w:sz w:val="22"/>
              </w:rPr>
              <w:t>无</w:t>
            </w:r>
          </w:p>
        </w:tc>
      </w:tr>
      <w:tr>
        <w:tc>
          <w:tcPr>
            <w:tcW w:type="dxa" w:w="3312"/>
            <w:vAlign w:val="center"/>
          </w:tcPr>
          <w:p>
            <w:pPr>
              <w:jc w:val="left"/>
            </w:pPr>
            <w:r/>
            <w:r>
              <w:rPr>
                <w:rFonts w:ascii="仿宋_GB2312" w:hAnsi="仿宋_GB2312" w:eastAsia="仿宋_GB2312"/>
                <w:b/>
                <w:sz w:val="22"/>
              </w:rPr>
              <w:t>*问题照片</w:t>
            </w:r>
          </w:p>
        </w:tc>
        <w:tc>
          <w:tcPr>
            <w:tcW w:type="dxa" w:w="6624"/>
            <w:gridSpan w:val="2"/>
            <w:vAlign w:val="center"/>
          </w:tcPr>
          <w:p>
            <w:pPr>
              <w:jc w:val="center"/>
            </w:pPr>
            <w:r/>
            <w:r>
              <w:rPr>
                <w:rFonts w:ascii="仿宋_GB2312" w:hAnsi="仿宋_GB2312" w:eastAsia="仿宋_GB2312"/>
                <w:b w:val="0"/>
                <w:sz w:val="22"/>
              </w:rPr>
              <w:t>无照片</w:t>
            </w:r>
          </w:p>
        </w:tc>
      </w:tr>
      <w:tr>
        <w:tc>
          <w:tcPr>
            <w:tcW w:type="dxa" w:w="3312"/>
            <w:vAlign w:val="center"/>
          </w:tcPr>
          <w:p>
            <w:pPr>
              <w:jc w:val="left"/>
            </w:pPr>
            <w:r/>
            <w:r>
              <w:rPr>
                <w:rFonts w:ascii="仿宋_GB2312" w:hAnsi="仿宋_GB2312" w:eastAsia="仿宋_GB2312"/>
                <w:b/>
                <w:sz w:val="22"/>
              </w:rPr>
              <w:t>案例附件</w:t>
            </w:r>
          </w:p>
        </w:tc>
        <w:tc>
          <w:tcPr>
            <w:tcW w:type="dxa" w:w="6624"/>
            <w:gridSpan w:val="2"/>
            <w:vAlign w:val="center"/>
          </w:tcPr>
          <w:p>
            <w:pPr>
              <w:jc w:val="left"/>
            </w:pPr>
            <w:r/>
            <w:r>
              <w:rPr>
                <w:rFonts w:ascii="仿宋_GB2312" w:hAnsi="仿宋_GB2312" w:eastAsia="仿宋_GB2312"/>
                <w:b w:val="0"/>
                <w:sz w:val="22"/>
              </w:rPr>
              <w:t>无</w:t>
            </w: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bl>
    <w:p/>
    <w:p/>
    <w:p/>
    <w:p/>
    <w:p/>
    <w:p/>
    <w:p/>
    <w:p/>
    <w:p/>
    <w:p/>
    <w:p/>
    <w:p/>
    <w:p/>
    <w:p/>
    <w:p/>
    <w:p/>
    <w:p/>
    <w:p/>
    <w:p/>
    <w:p/>
    <w:p/>
    <w:p/>
    <w:p/>
    <w:p/>
    <w:p/>
    <w:p/>
    <w:p/>
    <w:p/>
    <w:p/>
    <w:p/>
    <w:p/>
    <w:p/>
    <w:p/>
    <w:p/>
    <w:p/>
    <w:p/>
    <w:p/>
    <w:p/>
    <w:p/>
    <w:p/>
    <w:p/>
    <w:p/>
    <w:p/>
    <w:p/>
    <w:p/>
    <w:p/>
    <w:p/>
    <w:sectPr w:rsidR="00FC693F" w:rsidRPr="0006063C" w:rsidSect="00034616">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