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施工人员操作不当，未按照规范进行接线；2. 设计图纸与现场实际情况不符，导致接线困难；3. 端子排容量不足，无法满足实际接线需求；4. 监督检查不到位，未能及时发现并纠正接线问题。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 立即对所有电流二次回路进行检查，确保每个端子只压接一根线芯；2. 核对设计图纸与现场实际情况，必要时进行设计变更；3. 加强施工人员培训，提高其规范操作意识；4. 增加监督检查力度，确保接线质量符合标准。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