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设备安装阶段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8.1.1</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电流互感器安装完成后，现场应检查下列项目：a.测试互感器各绕组的极性、变比、特性，应与出厂资料一致。b.电流互感器的变比、容量与准确级应与设计要求一致，并符合有关规定。c.互感器各次绕组的接线、与装置的对应关系及其极性关系应与设计相符合并满足装置的要求，相别标识应正确。d.确认电流二次回路没有开路，电流互感器二次过压保护设备不得接入电流二次回路。e.计算二次回路的负担，结合厂家提供的试验资料，验算出的互感器工作条件应符合有关规定。2.二次绕组指向：所有绕组的极性正确。3.相关参数：核对保护使用的二次绕组变比与招标技术文件、设计图纸一致，保护使用的二次绕组接线方式和 CT 的类型、准确度和容量满足要求。4.双重化配置的主保护应使用电流互感器的不同二次绕组，二次绕组的分配应注意避免当一套保护停用时，出现保护区内故障时的保护动作死区。5.核对电流互感器各二次绕组与保护对应关系，防止由于电流互感器内部故障导致保护存在死区。 为避免油纸电容型电流互感器底部事故时扩大影响范围，母差保护的二次绕组应设在一次母线的L1侧。6.变压器保护使用的低压侧电流互感器宜安装于母线侧隔离开关与断路器之间，使差动保护范围包括低压侧断路器。</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110千伏各间隔电流二次回路接线不规范，电流回路存在一个端子压接多根线芯。</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施工人员操作不当，未按照规范进行接线；2. 设计图纸与现场实际情况不符，导致接线困难；3. 端子排容量不足，无法满足实际接线需求；4. 监督检查不到位，未能及时发现并纠正接线问题。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立即对所有电流二次回路进行检查，确保每个端子只压接一根线芯；2. 核对设计图纸与现场实际情况，必要时进行设计变更；3. 加强施工人员培训，提高其规范操作意识；4. 增加监督检查力度，确保接线质量符合标准。</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