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 - 53问题案例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金具全过程技术监督精益化管理实施细则.xls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1.铝制引流连板及并沟线夹的连接面应平整，光洁，保留导电脂，并应逐个均匀地拧紧连接螺栓。螺栓的扭矩应符合该产品说明书所列数值。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53号塔地线线夹漏装销钉。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可能原因包括：施工人员疏忽未安装销钉；验收环节检查不到位；设计图纸或施工方案中对销钉安装要求不明确；材料供应环节遗漏销钉。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立即组织人员进行现场核查，确认漏装情况；补充安装缺失的销钉，并检查其他线夹是否也存在类似问题；加强施工过程中的质量控制和验收环节的细致检查；对相关施工人员进行培训，提高其责任心和专业技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